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F025DD" w14:textId="77777777" w:rsidR="00803C5F" w:rsidRDefault="00803C5F">
      <w:pPr>
        <w:jc w:val="center"/>
      </w:pPr>
    </w:p>
    <w:p w14:paraId="35E9636E" w14:textId="1990B23F" w:rsidR="00803C5F" w:rsidRDefault="00351A52">
      <w:pPr>
        <w:jc w:val="center"/>
      </w:pPr>
      <w:r>
        <w:rPr>
          <w:noProof/>
        </w:rPr>
        <w:drawing>
          <wp:inline distT="0" distB="0" distL="0" distR="0" wp14:anchorId="5F12E73D" wp14:editId="72D7C717">
            <wp:extent cx="3439413" cy="1141992"/>
            <wp:effectExtent l="0" t="0" r="8890" b="1270"/>
            <wp:docPr id="3487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9179"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7050F9D9" w14:textId="77777777" w:rsidR="00E93632" w:rsidRDefault="00E93632">
      <w:pPr>
        <w:rPr>
          <w:b/>
        </w:rPr>
      </w:pPr>
    </w:p>
    <w:p w14:paraId="31E64A87" w14:textId="77777777" w:rsidR="003055C8" w:rsidRDefault="003055C8">
      <w:pPr>
        <w:rPr>
          <w:b/>
        </w:rPr>
      </w:pPr>
    </w:p>
    <w:p w14:paraId="796D7658" w14:textId="073E85B5" w:rsidR="003334F5" w:rsidRPr="003334F5" w:rsidRDefault="003334F5" w:rsidP="003334F5">
      <w:pPr>
        <w:jc w:val="center"/>
        <w:rPr>
          <w:b/>
          <w:sz w:val="28"/>
          <w:szCs w:val="28"/>
        </w:rPr>
      </w:pPr>
      <w:r w:rsidRPr="003334F5">
        <w:rPr>
          <w:b/>
          <w:sz w:val="28"/>
          <w:szCs w:val="28"/>
        </w:rPr>
        <w:t xml:space="preserve">2025 </w:t>
      </w:r>
      <w:r>
        <w:rPr>
          <w:b/>
          <w:sz w:val="28"/>
          <w:szCs w:val="28"/>
        </w:rPr>
        <w:t xml:space="preserve">Rules of The Private Arbitration Court </w:t>
      </w:r>
      <w:r w:rsidRPr="003334F5">
        <w:rPr>
          <w:b/>
          <w:sz w:val="28"/>
          <w:szCs w:val="28"/>
        </w:rPr>
        <w:t>(</w:t>
      </w:r>
      <w:r>
        <w:rPr>
          <w:b/>
          <w:sz w:val="28"/>
          <w:szCs w:val="28"/>
        </w:rPr>
        <w:t>First Edition</w:t>
      </w:r>
      <w:r w:rsidRPr="003334F5">
        <w:rPr>
          <w:b/>
          <w:sz w:val="28"/>
          <w:szCs w:val="28"/>
        </w:rPr>
        <w:t>)</w:t>
      </w:r>
    </w:p>
    <w:p w14:paraId="7093EE38" w14:textId="77777777" w:rsidR="003334F5" w:rsidRDefault="003334F5">
      <w:pPr>
        <w:rPr>
          <w:b/>
        </w:rPr>
      </w:pPr>
    </w:p>
    <w:p w14:paraId="689579D0" w14:textId="3F2459C0" w:rsidR="00803C5F" w:rsidRDefault="0055597F">
      <w:r>
        <w:rPr>
          <w:b/>
        </w:rPr>
        <w:t>Introduction</w:t>
      </w:r>
    </w:p>
    <w:p w14:paraId="43F11810" w14:textId="77777777" w:rsidR="003055C8" w:rsidRDefault="003055C8"/>
    <w:p w14:paraId="496F11C7" w14:textId="6AC5DE61" w:rsidR="00803C5F" w:rsidRDefault="00E93632">
      <w:r>
        <w:t xml:space="preserve">The Private Arbitration Court is a collaboration between </w:t>
      </w:r>
      <w:r w:rsidR="0055597F">
        <w:t xml:space="preserve">Hunt ADR Limited </w:t>
      </w:r>
      <w:r>
        <w:t>and The Barrister Group. Hunt ADR is hereafter referred to as “the Arbitration Manager”.</w:t>
      </w:r>
    </w:p>
    <w:p w14:paraId="4509EABD" w14:textId="77777777" w:rsidR="00803C5F" w:rsidRDefault="00803C5F"/>
    <w:p w14:paraId="287F40A2" w14:textId="483A47B1" w:rsidR="00803C5F" w:rsidRDefault="0055597F">
      <w:r>
        <w:t xml:space="preserve">Key Features of </w:t>
      </w:r>
      <w:r w:rsidR="00E93632">
        <w:t>The Private Arbitration Court</w:t>
      </w:r>
      <w:r w:rsidR="00351A52">
        <w:t xml:space="preserve"> </w:t>
      </w:r>
      <w:r>
        <w:t>include:</w:t>
      </w:r>
    </w:p>
    <w:p w14:paraId="34DF56E0" w14:textId="77777777" w:rsidR="00803C5F" w:rsidRDefault="00803C5F"/>
    <w:p w14:paraId="7714A8E9" w14:textId="049C2E59" w:rsidR="00803C5F" w:rsidRDefault="0055597F">
      <w:pPr>
        <w:numPr>
          <w:ilvl w:val="0"/>
          <w:numId w:val="2"/>
        </w:numPr>
        <w:ind w:hanging="360"/>
        <w:contextualSpacing/>
      </w:pPr>
      <w:r>
        <w:t>Private and confidential resolution of disputes</w:t>
      </w:r>
      <w:r w:rsidR="003334F5">
        <w:t>.</w:t>
      </w:r>
    </w:p>
    <w:p w14:paraId="72BA0B94" w14:textId="77777777" w:rsidR="003055C8" w:rsidRDefault="003055C8" w:rsidP="003055C8">
      <w:pPr>
        <w:ind w:left="720"/>
        <w:contextualSpacing/>
      </w:pPr>
    </w:p>
    <w:p w14:paraId="30411827" w14:textId="76AACBA5" w:rsidR="008315DE" w:rsidRDefault="0055597F" w:rsidP="008315DE">
      <w:pPr>
        <w:numPr>
          <w:ilvl w:val="0"/>
          <w:numId w:val="3"/>
        </w:numPr>
        <w:ind w:hanging="360"/>
        <w:contextualSpacing/>
      </w:pPr>
      <w:r>
        <w:t>Fixed fee</w:t>
      </w:r>
      <w:r w:rsidR="00CF4C70">
        <w:t>s</w:t>
      </w:r>
      <w:r>
        <w:t xml:space="preserve"> </w:t>
      </w:r>
      <w:r w:rsidR="00CF4C70">
        <w:t>ranging from £1,200 (inc. VAT) to £6,000 (inc. VAT) depending upon whether the claim is documents only or requires a hearing</w:t>
      </w:r>
      <w:r w:rsidR="00351A52">
        <w:t xml:space="preserve">, </w:t>
      </w:r>
      <w:r>
        <w:t>payable by each party on commencement of the arbitration, covering the Arbitration Manager’s administrative costs and the arbitrator’s fees</w:t>
      </w:r>
      <w:r w:rsidR="008315DE">
        <w:t>. Recoverable costs limited to your own fee plus the fee paid by the other party – making the maximum exposure to costs £</w:t>
      </w:r>
      <w:r w:rsidR="00947056">
        <w:t>1</w:t>
      </w:r>
      <w:r w:rsidR="008315DE">
        <w:t>2,000</w:t>
      </w:r>
      <w:r w:rsidR="003334F5">
        <w:t>.</w:t>
      </w:r>
    </w:p>
    <w:p w14:paraId="5038561A" w14:textId="77777777" w:rsidR="003055C8" w:rsidRDefault="003055C8" w:rsidP="003055C8">
      <w:pPr>
        <w:ind w:left="720"/>
        <w:contextualSpacing/>
      </w:pPr>
    </w:p>
    <w:p w14:paraId="4CF100AE" w14:textId="11536571" w:rsidR="00803C5F" w:rsidRDefault="0055597F">
      <w:pPr>
        <w:numPr>
          <w:ilvl w:val="0"/>
          <w:numId w:val="2"/>
        </w:numPr>
        <w:ind w:hanging="360"/>
        <w:contextualSpacing/>
      </w:pPr>
      <w:r>
        <w:t xml:space="preserve">Uses </w:t>
      </w:r>
      <w:r w:rsidR="00351A52">
        <w:t xml:space="preserve">experienced and tested Hunt ADR panel </w:t>
      </w:r>
      <w:r>
        <w:t xml:space="preserve">arbitrators </w:t>
      </w:r>
      <w:r w:rsidR="00351A52">
        <w:t>only</w:t>
      </w:r>
      <w:r w:rsidR="003334F5">
        <w:t>.</w:t>
      </w:r>
    </w:p>
    <w:p w14:paraId="2C03F6E4" w14:textId="77777777" w:rsidR="003055C8" w:rsidRDefault="003055C8" w:rsidP="003055C8">
      <w:pPr>
        <w:ind w:left="720"/>
        <w:contextualSpacing/>
      </w:pPr>
    </w:p>
    <w:p w14:paraId="54B3EBC6" w14:textId="47675420" w:rsidR="00803C5F" w:rsidRDefault="0055597F">
      <w:pPr>
        <w:numPr>
          <w:ilvl w:val="0"/>
          <w:numId w:val="2"/>
        </w:numPr>
        <w:ind w:hanging="360"/>
        <w:contextualSpacing/>
      </w:pPr>
      <w:r>
        <w:t>Sole arbitrator will be appointed by the Arbitration Manager within 10 days of receipt of the arbitration notice</w:t>
      </w:r>
      <w:r w:rsidR="003334F5">
        <w:t>.</w:t>
      </w:r>
    </w:p>
    <w:p w14:paraId="768265DB" w14:textId="77777777" w:rsidR="003055C8" w:rsidRDefault="003055C8" w:rsidP="003055C8">
      <w:pPr>
        <w:ind w:left="720"/>
        <w:contextualSpacing/>
      </w:pPr>
    </w:p>
    <w:p w14:paraId="1568FF99" w14:textId="621332AE" w:rsidR="00803C5F" w:rsidRDefault="0055597F">
      <w:pPr>
        <w:numPr>
          <w:ilvl w:val="0"/>
          <w:numId w:val="2"/>
        </w:numPr>
        <w:ind w:hanging="360"/>
        <w:contextualSpacing/>
      </w:pPr>
      <w:r>
        <w:t>Statement(s) of claim, statements(s) of defence, reply to the defence and any other document submitted (including witness statements) shall not exceed 2,500 words per submission</w:t>
      </w:r>
      <w:r w:rsidR="003334F5">
        <w:t>.</w:t>
      </w:r>
    </w:p>
    <w:p w14:paraId="750C15E5" w14:textId="77777777" w:rsidR="003055C8" w:rsidRDefault="003055C8" w:rsidP="003055C8">
      <w:pPr>
        <w:ind w:left="720"/>
        <w:contextualSpacing/>
      </w:pPr>
    </w:p>
    <w:p w14:paraId="67A665C7" w14:textId="158C1C00" w:rsidR="00803C5F" w:rsidRDefault="0055597F" w:rsidP="008315DE">
      <w:pPr>
        <w:numPr>
          <w:ilvl w:val="0"/>
          <w:numId w:val="2"/>
        </w:numPr>
        <w:ind w:hanging="360"/>
        <w:contextualSpacing/>
      </w:pPr>
      <w:r>
        <w:t xml:space="preserve">Arbitrator will issue an Award </w:t>
      </w:r>
      <w:r w:rsidR="00947056">
        <w:t xml:space="preserve">within </w:t>
      </w:r>
      <w:r>
        <w:t xml:space="preserve">90 days </w:t>
      </w:r>
      <w:r w:rsidR="00947056">
        <w:t>from the close of submissions</w:t>
      </w:r>
      <w:r w:rsidR="003334F5">
        <w:t>.</w:t>
      </w:r>
    </w:p>
    <w:p w14:paraId="7D728878" w14:textId="77777777" w:rsidR="003055C8" w:rsidRDefault="003055C8" w:rsidP="003055C8">
      <w:pPr>
        <w:ind w:left="720"/>
        <w:contextualSpacing/>
      </w:pPr>
    </w:p>
    <w:p w14:paraId="23D57AED" w14:textId="3B1AD6DC" w:rsidR="00803C5F" w:rsidRDefault="00947056">
      <w:pPr>
        <w:numPr>
          <w:ilvl w:val="0"/>
          <w:numId w:val="3"/>
        </w:numPr>
        <w:ind w:hanging="360"/>
        <w:contextualSpacing/>
      </w:pPr>
      <w:r>
        <w:t xml:space="preserve">Arbitration </w:t>
      </w:r>
      <w:r w:rsidR="0055597F">
        <w:t>Award</w:t>
      </w:r>
      <w:r>
        <w:t>s</w:t>
      </w:r>
      <w:r w:rsidR="0055597F">
        <w:t xml:space="preserve"> </w:t>
      </w:r>
      <w:r>
        <w:t xml:space="preserve">are recognised in law with the same finality as Court </w:t>
      </w:r>
      <w:proofErr w:type="gramStart"/>
      <w:r>
        <w:t>judgements, and</w:t>
      </w:r>
      <w:proofErr w:type="gramEnd"/>
      <w:r>
        <w:t xml:space="preserve"> recognised internationally under the New York Convention</w:t>
      </w:r>
      <w:r w:rsidR="003334F5">
        <w:t>.</w:t>
      </w:r>
    </w:p>
    <w:p w14:paraId="11DB73B1" w14:textId="77777777" w:rsidR="003055C8" w:rsidRDefault="003055C8" w:rsidP="003055C8">
      <w:pPr>
        <w:ind w:left="720"/>
        <w:contextualSpacing/>
      </w:pPr>
    </w:p>
    <w:p w14:paraId="68ECADA6" w14:textId="0FB18BDE" w:rsidR="00803C5F" w:rsidRDefault="00947056">
      <w:pPr>
        <w:numPr>
          <w:ilvl w:val="0"/>
          <w:numId w:val="3"/>
        </w:numPr>
        <w:ind w:hanging="360"/>
        <w:contextualSpacing/>
      </w:pPr>
      <w:r>
        <w:t>Arbitration is confidential - -protecting personal and business sensitive information and reducing reputational risks from public argument</w:t>
      </w:r>
      <w:r w:rsidR="003334F5">
        <w:t>.</w:t>
      </w:r>
    </w:p>
    <w:p w14:paraId="5ACEA068" w14:textId="71575795" w:rsidR="00947056" w:rsidRDefault="00947056">
      <w:r>
        <w:br w:type="page"/>
      </w:r>
    </w:p>
    <w:p w14:paraId="3E07DEC7" w14:textId="77777777" w:rsidR="00E93632" w:rsidRDefault="00E93632">
      <w:pPr>
        <w:jc w:val="center"/>
      </w:pPr>
    </w:p>
    <w:p w14:paraId="73841BA7" w14:textId="4319B01B" w:rsidR="00E93632" w:rsidRDefault="00E93632">
      <w:pPr>
        <w:jc w:val="center"/>
      </w:pPr>
      <w:r>
        <w:rPr>
          <w:noProof/>
        </w:rPr>
        <w:drawing>
          <wp:inline distT="0" distB="0" distL="0" distR="0" wp14:anchorId="4B85DB91" wp14:editId="1EDF2D41">
            <wp:extent cx="3439413" cy="1141992"/>
            <wp:effectExtent l="0" t="0" r="8890" b="1270"/>
            <wp:docPr id="121043310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3108"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4C40659F" w14:textId="77777777" w:rsidR="00E93632" w:rsidRDefault="00E93632">
      <w:pPr>
        <w:jc w:val="center"/>
        <w:rPr>
          <w:b/>
        </w:rPr>
      </w:pPr>
    </w:p>
    <w:p w14:paraId="22474680" w14:textId="77777777" w:rsidR="003334F5" w:rsidRDefault="003334F5" w:rsidP="003334F5">
      <w:pPr>
        <w:jc w:val="center"/>
        <w:rPr>
          <w:b/>
          <w:sz w:val="28"/>
          <w:szCs w:val="28"/>
        </w:rPr>
      </w:pPr>
    </w:p>
    <w:p w14:paraId="4F15A965" w14:textId="6728C62B" w:rsidR="003334F5" w:rsidRPr="003334F5" w:rsidRDefault="003334F5" w:rsidP="003334F5">
      <w:pPr>
        <w:jc w:val="center"/>
        <w:rPr>
          <w:b/>
          <w:sz w:val="28"/>
          <w:szCs w:val="28"/>
        </w:rPr>
      </w:pPr>
      <w:r w:rsidRPr="003334F5">
        <w:rPr>
          <w:b/>
          <w:sz w:val="28"/>
          <w:szCs w:val="28"/>
        </w:rPr>
        <w:t xml:space="preserve">2025 </w:t>
      </w:r>
      <w:r>
        <w:rPr>
          <w:b/>
          <w:sz w:val="28"/>
          <w:szCs w:val="28"/>
        </w:rPr>
        <w:t xml:space="preserve">Rules of The Private Arbitration Court </w:t>
      </w:r>
      <w:r w:rsidRPr="003334F5">
        <w:rPr>
          <w:b/>
          <w:sz w:val="28"/>
          <w:szCs w:val="28"/>
        </w:rPr>
        <w:t>(</w:t>
      </w:r>
      <w:r>
        <w:rPr>
          <w:b/>
          <w:sz w:val="28"/>
          <w:szCs w:val="28"/>
        </w:rPr>
        <w:t>First Edition</w:t>
      </w:r>
      <w:r w:rsidRPr="003334F5">
        <w:rPr>
          <w:b/>
          <w:sz w:val="28"/>
          <w:szCs w:val="28"/>
        </w:rPr>
        <w:t>)</w:t>
      </w:r>
    </w:p>
    <w:p w14:paraId="62A985E3" w14:textId="77777777" w:rsidR="00803C5F" w:rsidRDefault="00803C5F"/>
    <w:p w14:paraId="7612C17F" w14:textId="77777777" w:rsidR="003334F5" w:rsidRDefault="003334F5"/>
    <w:p w14:paraId="1C824E1A" w14:textId="46A061E4" w:rsidR="00803C5F" w:rsidRDefault="0055597F">
      <w:pPr>
        <w:numPr>
          <w:ilvl w:val="0"/>
          <w:numId w:val="1"/>
        </w:numPr>
        <w:ind w:hanging="360"/>
        <w:contextualSpacing/>
      </w:pPr>
      <w:r>
        <w:t>These Rules apply t</w:t>
      </w:r>
      <w:r w:rsidR="002E1923">
        <w:t xml:space="preserve">o arbitrations under </w:t>
      </w:r>
      <w:r w:rsidR="00E93632">
        <w:t>The Private Arbitration Court</w:t>
      </w:r>
      <w:r w:rsidR="008315DE">
        <w:t xml:space="preserve"> Rules</w:t>
      </w:r>
      <w:r>
        <w:t xml:space="preserve">. </w:t>
      </w:r>
    </w:p>
    <w:p w14:paraId="4DFAFFDB" w14:textId="77777777" w:rsidR="00803C5F" w:rsidRDefault="00803C5F"/>
    <w:p w14:paraId="75C76947" w14:textId="77777777" w:rsidR="008315DE" w:rsidRDefault="00E93632" w:rsidP="008315DE">
      <w:pPr>
        <w:numPr>
          <w:ilvl w:val="0"/>
          <w:numId w:val="1"/>
        </w:numPr>
        <w:ind w:hanging="360"/>
        <w:contextualSpacing/>
      </w:pPr>
      <w:r>
        <w:t>The Private Arbitration Court</w:t>
      </w:r>
      <w:r w:rsidR="00351A52">
        <w:t xml:space="preserve"> </w:t>
      </w:r>
      <w:r w:rsidR="0055597F">
        <w:t>has been developed to provide simple, cost-effective and timely resolution of disputes by a sole arbitrator, for a fixed f</w:t>
      </w:r>
      <w:r w:rsidR="002E1923">
        <w:t xml:space="preserve">ee, for disputes between </w:t>
      </w:r>
      <w:r w:rsidR="00351A52">
        <w:t>parties</w:t>
      </w:r>
      <w:r w:rsidR="0055597F">
        <w:t>.</w:t>
      </w:r>
    </w:p>
    <w:p w14:paraId="7E1EB4E9" w14:textId="77777777" w:rsidR="008315DE" w:rsidRDefault="008315DE" w:rsidP="008315DE">
      <w:pPr>
        <w:pStyle w:val="ListParagraph"/>
      </w:pPr>
    </w:p>
    <w:p w14:paraId="2F5F1A2D" w14:textId="53B2C4F6" w:rsidR="008315DE" w:rsidRDefault="0055597F" w:rsidP="008315DE">
      <w:pPr>
        <w:numPr>
          <w:ilvl w:val="0"/>
          <w:numId w:val="1"/>
        </w:numPr>
        <w:ind w:hanging="360"/>
        <w:contextualSpacing/>
      </w:pPr>
      <w:r>
        <w:t xml:space="preserve">The object of the </w:t>
      </w:r>
      <w:r w:rsidR="008315DE">
        <w:t xml:space="preserve">Private Arbitration Court </w:t>
      </w:r>
      <w:r>
        <w:t xml:space="preserve">is to provide the parties with a final and legally binding decision on their dispute </w:t>
      </w:r>
      <w:r w:rsidR="00947056">
        <w:t>no longer than 90 days from the close of submissions</w:t>
      </w:r>
      <w:r w:rsidR="008315DE">
        <w:t>.</w:t>
      </w:r>
    </w:p>
    <w:p w14:paraId="0DD072C4" w14:textId="77777777" w:rsidR="00803C5F" w:rsidRDefault="00803C5F"/>
    <w:p w14:paraId="10CF8659" w14:textId="4787FDCE" w:rsidR="00803C5F" w:rsidRDefault="0055597F">
      <w:pPr>
        <w:numPr>
          <w:ilvl w:val="0"/>
          <w:numId w:val="1"/>
        </w:numPr>
        <w:ind w:hanging="360"/>
        <w:contextualSpacing/>
      </w:pPr>
      <w:r>
        <w:t xml:space="preserve">An arbitration is commenced when the Arbitration Manager receives an Arbitration Notice (request for the appointment of an arbitrator). The Arbitration Notice should contain party details, </w:t>
      </w:r>
      <w:proofErr w:type="gramStart"/>
      <w:r>
        <w:t>a brief summary</w:t>
      </w:r>
      <w:proofErr w:type="gramEnd"/>
      <w:r>
        <w:t xml:space="preserve"> of the dispute and the issues to be determined, and an outline of the relief sought. A model Arbitration Notice is attached to these Rules. </w:t>
      </w:r>
    </w:p>
    <w:p w14:paraId="0461C034" w14:textId="77777777" w:rsidR="00803C5F" w:rsidRDefault="00803C5F"/>
    <w:p w14:paraId="2D402BE4" w14:textId="77777777" w:rsidR="004C6635" w:rsidRDefault="00351A52" w:rsidP="004C6635">
      <w:pPr>
        <w:numPr>
          <w:ilvl w:val="0"/>
          <w:numId w:val="1"/>
        </w:numPr>
        <w:ind w:hanging="360"/>
        <w:contextualSpacing/>
      </w:pPr>
      <w:r>
        <w:t xml:space="preserve">If there is </w:t>
      </w:r>
      <w:r w:rsidR="0055597F">
        <w:t>a contractual agreement between the par</w:t>
      </w:r>
      <w:r w:rsidR="002E1923">
        <w:t xml:space="preserve">ties to refer disputes to </w:t>
      </w:r>
      <w:r>
        <w:t>arbitration</w:t>
      </w:r>
      <w:r w:rsidR="00905880">
        <w:t xml:space="preserve">, </w:t>
      </w:r>
      <w:r w:rsidR="0055597F">
        <w:t>the arbitration can commence with a unilateral application.</w:t>
      </w:r>
    </w:p>
    <w:p w14:paraId="60EFEBC7" w14:textId="77777777" w:rsidR="004C6635" w:rsidRDefault="004C6635" w:rsidP="004C6635">
      <w:pPr>
        <w:pStyle w:val="ListParagraph"/>
      </w:pPr>
    </w:p>
    <w:p w14:paraId="18932B46" w14:textId="183A526F" w:rsidR="004C6635" w:rsidRDefault="004C6635" w:rsidP="004C6635">
      <w:pPr>
        <w:numPr>
          <w:ilvl w:val="0"/>
          <w:numId w:val="1"/>
        </w:numPr>
        <w:ind w:hanging="360"/>
        <w:contextualSpacing/>
      </w:pPr>
      <w:r>
        <w:t>Statement(s) of claim, statements(s) of defence, reply to the defence and any other document submitted (including witness statements) shall not exceed 2,500 words per submission. This rule applies to both documents-only claims and claims where a hearing is required.</w:t>
      </w:r>
    </w:p>
    <w:p w14:paraId="11E084CD" w14:textId="77777777" w:rsidR="004C6635" w:rsidRDefault="004C6635" w:rsidP="004C6635">
      <w:pPr>
        <w:pStyle w:val="ListParagraph"/>
      </w:pPr>
    </w:p>
    <w:p w14:paraId="68AFA15A" w14:textId="00D0A47A" w:rsidR="00803C5F" w:rsidRDefault="0055597F" w:rsidP="004C6635">
      <w:pPr>
        <w:numPr>
          <w:ilvl w:val="0"/>
          <w:numId w:val="1"/>
        </w:numPr>
        <w:ind w:hanging="360"/>
        <w:contextualSpacing/>
      </w:pPr>
      <w:r>
        <w:t>The Arbitration Notice should be accompanied by the following</w:t>
      </w:r>
      <w:r w:rsidR="004C6635">
        <w:t>:</w:t>
      </w:r>
    </w:p>
    <w:p w14:paraId="34CDE106" w14:textId="77777777" w:rsidR="00803C5F" w:rsidRDefault="00803C5F">
      <w:pPr>
        <w:ind w:left="720"/>
      </w:pPr>
    </w:p>
    <w:p w14:paraId="593E6929" w14:textId="0C3AE777" w:rsidR="00803C5F" w:rsidRDefault="0055597F">
      <w:pPr>
        <w:numPr>
          <w:ilvl w:val="1"/>
          <w:numId w:val="1"/>
        </w:numPr>
        <w:ind w:hanging="360"/>
        <w:contextualSpacing/>
      </w:pPr>
      <w:r>
        <w:t>copies of relevant contractual documents, including a copy of the contractual agreement between the parties to refer their disp</w:t>
      </w:r>
      <w:r w:rsidR="002E1923">
        <w:t xml:space="preserve">ute to </w:t>
      </w:r>
      <w:proofErr w:type="gramStart"/>
      <w:r w:rsidR="002E1923">
        <w:t>arbitration</w:t>
      </w:r>
      <w:r w:rsidR="00351A52">
        <w:t>;</w:t>
      </w:r>
      <w:proofErr w:type="gramEnd"/>
      <w:r>
        <w:t xml:space="preserve"> </w:t>
      </w:r>
    </w:p>
    <w:p w14:paraId="4A553CC2" w14:textId="77777777" w:rsidR="00803C5F" w:rsidRDefault="0055597F">
      <w:pPr>
        <w:numPr>
          <w:ilvl w:val="1"/>
          <w:numId w:val="1"/>
        </w:numPr>
        <w:ind w:hanging="360"/>
        <w:contextualSpacing/>
      </w:pPr>
      <w:r>
        <w:t>a copy of the Applicant’s Statement of Claim; and</w:t>
      </w:r>
    </w:p>
    <w:p w14:paraId="4308C9C6" w14:textId="6F9135F2" w:rsidR="00803C5F" w:rsidRDefault="00351A52">
      <w:pPr>
        <w:numPr>
          <w:ilvl w:val="1"/>
          <w:numId w:val="1"/>
        </w:numPr>
        <w:ind w:hanging="360"/>
        <w:contextualSpacing/>
      </w:pPr>
      <w:r>
        <w:t xml:space="preserve">payment of the fixed fee for </w:t>
      </w:r>
      <w:r w:rsidR="00E93632">
        <w:t>The Private Arbitration Court</w:t>
      </w:r>
      <w:r>
        <w:t xml:space="preserve"> to the </w:t>
      </w:r>
      <w:r w:rsidR="002E1923">
        <w:t>Arbitration Manager</w:t>
      </w:r>
      <w:r w:rsidR="0055597F">
        <w:t xml:space="preserve">. </w:t>
      </w:r>
    </w:p>
    <w:p w14:paraId="43318EF7" w14:textId="77777777" w:rsidR="00803C5F" w:rsidRDefault="00803C5F"/>
    <w:p w14:paraId="2F9F64CE" w14:textId="77777777" w:rsidR="00803C5F" w:rsidRDefault="0055597F">
      <w:pPr>
        <w:numPr>
          <w:ilvl w:val="0"/>
          <w:numId w:val="1"/>
        </w:numPr>
        <w:ind w:hanging="360"/>
        <w:contextualSpacing/>
      </w:pPr>
      <w:r>
        <w:t xml:space="preserve">A copy of the Arbitration </w:t>
      </w:r>
      <w:proofErr w:type="gramStart"/>
      <w:r>
        <w:t>Notice</w:t>
      </w:r>
      <w:proofErr w:type="gramEnd"/>
      <w:r>
        <w:t xml:space="preserve"> and all accompanying documents should be sent </w:t>
      </w:r>
      <w:r>
        <w:lastRenderedPageBreak/>
        <w:t xml:space="preserve">electronically (where possible) by the Applicant to the Respondent(s). </w:t>
      </w:r>
    </w:p>
    <w:p w14:paraId="10EAF932" w14:textId="77777777" w:rsidR="00803C5F" w:rsidRDefault="00803C5F"/>
    <w:p w14:paraId="2166BC25" w14:textId="25E2512C" w:rsidR="00803C5F" w:rsidRDefault="0055597F">
      <w:pPr>
        <w:numPr>
          <w:ilvl w:val="0"/>
          <w:numId w:val="1"/>
        </w:numPr>
        <w:ind w:hanging="360"/>
        <w:contextualSpacing/>
      </w:pPr>
      <w:r>
        <w:t>The Arbitration Manager retains the right to refuse to accept to act upon an Arbitration Notice if any of the above requirements are not complied with.</w:t>
      </w:r>
    </w:p>
    <w:p w14:paraId="7D4CAE21" w14:textId="77777777" w:rsidR="00803C5F" w:rsidRDefault="00803C5F"/>
    <w:p w14:paraId="26FFC97F" w14:textId="61418D47" w:rsidR="00803C5F" w:rsidRDefault="0055597F">
      <w:pPr>
        <w:numPr>
          <w:ilvl w:val="0"/>
          <w:numId w:val="1"/>
        </w:numPr>
        <w:ind w:hanging="360"/>
        <w:contextualSpacing/>
      </w:pPr>
      <w:r>
        <w:t xml:space="preserve">Within </w:t>
      </w:r>
      <w:r w:rsidR="008315DE">
        <w:t>28</w:t>
      </w:r>
      <w:r>
        <w:t xml:space="preserve"> days of the commencement of the arbitration, the Respondent should send: </w:t>
      </w:r>
    </w:p>
    <w:p w14:paraId="3DE1C40F" w14:textId="77777777" w:rsidR="00803C5F" w:rsidRDefault="00803C5F">
      <w:pPr>
        <w:ind w:left="720"/>
      </w:pPr>
    </w:p>
    <w:p w14:paraId="192B52C3" w14:textId="20D7283E" w:rsidR="00803C5F" w:rsidRDefault="00603766">
      <w:pPr>
        <w:numPr>
          <w:ilvl w:val="1"/>
          <w:numId w:val="1"/>
        </w:numPr>
        <w:ind w:hanging="360"/>
        <w:contextualSpacing/>
      </w:pPr>
      <w:r>
        <w:t xml:space="preserve">Payment of their fixed fee for </w:t>
      </w:r>
      <w:r w:rsidR="00E93632">
        <w:t>The Private Arbitration Court</w:t>
      </w:r>
      <w:r w:rsidR="0055597F">
        <w:t>; and</w:t>
      </w:r>
    </w:p>
    <w:p w14:paraId="2E12B81E" w14:textId="6B23F1DD" w:rsidR="00803C5F" w:rsidRDefault="0055597F">
      <w:pPr>
        <w:numPr>
          <w:ilvl w:val="1"/>
          <w:numId w:val="1"/>
        </w:numPr>
        <w:ind w:hanging="360"/>
        <w:contextualSpacing/>
      </w:pPr>
      <w:r>
        <w:t>to both the Arbitration Manager and to the Applicant, a Statement of Defence (and Counterclaim, if applicable).</w:t>
      </w:r>
    </w:p>
    <w:p w14:paraId="1F2E0FFF" w14:textId="77777777" w:rsidR="00803C5F" w:rsidRDefault="00803C5F"/>
    <w:p w14:paraId="45286CD9" w14:textId="5D028FD6" w:rsidR="00803C5F" w:rsidRDefault="0055597F">
      <w:pPr>
        <w:numPr>
          <w:ilvl w:val="0"/>
          <w:numId w:val="1"/>
        </w:numPr>
        <w:ind w:hanging="360"/>
        <w:contextualSpacing/>
      </w:pPr>
      <w:r>
        <w:t>If a Counterclaim is advanced by the Respondent, but the Respondent fails to pay the fee required under paragraph 10.1, the Respondent’s Counterclaim may be treated by the Arbitrator and by the Arbitration Manager as withdrawn.</w:t>
      </w:r>
    </w:p>
    <w:p w14:paraId="3AE4980D" w14:textId="77777777" w:rsidR="00803C5F" w:rsidRDefault="00803C5F"/>
    <w:p w14:paraId="6EA9EEAE" w14:textId="089FBD77" w:rsidR="00803C5F" w:rsidRDefault="0055597F">
      <w:pPr>
        <w:numPr>
          <w:ilvl w:val="0"/>
          <w:numId w:val="1"/>
        </w:numPr>
        <w:ind w:hanging="360"/>
        <w:contextualSpacing/>
      </w:pPr>
      <w:r>
        <w:t xml:space="preserve">Failure by the Respondent to pay any or </w:t>
      </w:r>
      <w:proofErr w:type="gramStart"/>
      <w:r>
        <w:t>all of</w:t>
      </w:r>
      <w:proofErr w:type="gramEnd"/>
      <w:r>
        <w:t xml:space="preserve"> the fee required under paragraph 10.1 </w:t>
      </w:r>
      <w:r w:rsidR="00B14AAE">
        <w:t xml:space="preserve">will </w:t>
      </w:r>
      <w:r>
        <w:t>result in the Arbitration Manager directing the Applicant to pay the remainder of the fee due. Any payment made by the Applicant on behalf of the Respondent will be treated as a debt which the Applicant is entitled to recover</w:t>
      </w:r>
      <w:r w:rsidR="00947056">
        <w:t>. This will be dealt with in the Award by the Arbitrator</w:t>
      </w:r>
      <w:r>
        <w:t>.</w:t>
      </w:r>
    </w:p>
    <w:p w14:paraId="08367FC0" w14:textId="77777777" w:rsidR="00803C5F" w:rsidRDefault="00803C5F"/>
    <w:p w14:paraId="080F244C" w14:textId="580DAD0A" w:rsidR="00803C5F" w:rsidRDefault="0055597F">
      <w:pPr>
        <w:numPr>
          <w:ilvl w:val="0"/>
          <w:numId w:val="1"/>
        </w:numPr>
        <w:ind w:hanging="360"/>
        <w:contextualSpacing/>
      </w:pPr>
      <w:r>
        <w:t xml:space="preserve">The Arbitrator will be appointed by the </w:t>
      </w:r>
      <w:r w:rsidR="00D021C5">
        <w:t>A</w:t>
      </w:r>
      <w:r>
        <w:t xml:space="preserve">rbitration Manager from its Panel of Arbitrators within </w:t>
      </w:r>
      <w:r w:rsidR="008315DE">
        <w:t>10</w:t>
      </w:r>
      <w:r>
        <w:t xml:space="preserve"> days of commencement of the arbitration, and the Arbitrator’s details will then be notified to the parties.</w:t>
      </w:r>
      <w:r w:rsidR="00EA5CA8">
        <w:t xml:space="preserve">  </w:t>
      </w:r>
      <w:r w:rsidR="00D021C5">
        <w:t xml:space="preserve">If mediation has previously been attempted by the parties the </w:t>
      </w:r>
      <w:r w:rsidR="00EA5CA8">
        <w:t>Arbitrator will not be the same person as had previously acted as Mediator.</w:t>
      </w:r>
    </w:p>
    <w:p w14:paraId="47F03E0B" w14:textId="77777777" w:rsidR="00803C5F" w:rsidRDefault="00803C5F"/>
    <w:p w14:paraId="6688FBF1" w14:textId="6DE01FA4" w:rsidR="00803C5F" w:rsidRDefault="0055597F">
      <w:pPr>
        <w:numPr>
          <w:ilvl w:val="0"/>
          <w:numId w:val="1"/>
        </w:numPr>
        <w:ind w:hanging="360"/>
        <w:contextualSpacing/>
      </w:pPr>
      <w:r>
        <w:t xml:space="preserve">The Arbitrator will </w:t>
      </w:r>
      <w:r w:rsidR="00D021C5">
        <w:t xml:space="preserve">manage the rest of the arbitration and will </w:t>
      </w:r>
      <w:r>
        <w:t xml:space="preserve">issue a timetable for the arbitration within </w:t>
      </w:r>
      <w:r w:rsidR="00D021C5">
        <w:t>21</w:t>
      </w:r>
      <w:r>
        <w:t xml:space="preserve"> days of being appointed. All procedural matters are at the discretion of the Arbitrator.</w:t>
      </w:r>
      <w:r w:rsidR="00B14AAE">
        <w:t xml:space="preserve"> If the Respondent fails to respond on time to rule 10, the </w:t>
      </w:r>
      <w:r w:rsidR="003334F5">
        <w:t>A</w:t>
      </w:r>
      <w:r w:rsidR="00B14AAE">
        <w:t xml:space="preserve">rbitrator may rule in their absence.  If the Claimant and Respondent fail to provide anything required under these rules or a direction for the arbitration, then after 10 days the Arbitrator may declare the arbitration aborted. Where declared aborted any fees paid are forfeited and not </w:t>
      </w:r>
      <w:r w:rsidR="003334F5">
        <w:t>recoverable</w:t>
      </w:r>
      <w:r w:rsidR="00B14AAE">
        <w:t xml:space="preserve">.  </w:t>
      </w:r>
    </w:p>
    <w:p w14:paraId="3036457D" w14:textId="77777777" w:rsidR="00803C5F" w:rsidRDefault="00803C5F"/>
    <w:p w14:paraId="2D148655" w14:textId="77777777" w:rsidR="00803C5F" w:rsidRDefault="0055597F">
      <w:pPr>
        <w:numPr>
          <w:ilvl w:val="0"/>
          <w:numId w:val="1"/>
        </w:numPr>
        <w:ind w:hanging="360"/>
        <w:contextualSpacing/>
      </w:pPr>
      <w:r>
        <w:t xml:space="preserve">The Statements of Case (e.g. the Claim, Defence, and Response) must each be signed and dated by a duly authorised representative of the party concerned. All witness statements (if any) must be signed and dated by the witness. </w:t>
      </w:r>
    </w:p>
    <w:p w14:paraId="07722E05" w14:textId="77777777" w:rsidR="00803C5F" w:rsidRDefault="00803C5F"/>
    <w:p w14:paraId="425C1FB4" w14:textId="77777777" w:rsidR="00803C5F" w:rsidRDefault="0055597F">
      <w:pPr>
        <w:numPr>
          <w:ilvl w:val="0"/>
          <w:numId w:val="1"/>
        </w:numPr>
        <w:ind w:hanging="360"/>
        <w:contextualSpacing/>
      </w:pPr>
      <w:r>
        <w:t>Unless otherwise directed by the Arbitrator:</w:t>
      </w:r>
    </w:p>
    <w:p w14:paraId="63390478" w14:textId="77777777" w:rsidR="00803C5F" w:rsidRDefault="00803C5F">
      <w:pPr>
        <w:ind w:left="720"/>
      </w:pPr>
    </w:p>
    <w:p w14:paraId="1D6D65C2" w14:textId="77777777" w:rsidR="00803C5F" w:rsidRDefault="0055597F">
      <w:pPr>
        <w:numPr>
          <w:ilvl w:val="1"/>
          <w:numId w:val="1"/>
        </w:numPr>
        <w:ind w:hanging="360"/>
        <w:contextualSpacing/>
      </w:pPr>
      <w:r>
        <w:t xml:space="preserve">each side’s Statements of Case and witness statements (if any) shall, collectively, be no more than 2,500 words; and </w:t>
      </w:r>
    </w:p>
    <w:p w14:paraId="08E5881D" w14:textId="61F16F07" w:rsidR="00803C5F" w:rsidRDefault="0055597F">
      <w:pPr>
        <w:numPr>
          <w:ilvl w:val="1"/>
          <w:numId w:val="1"/>
        </w:numPr>
        <w:ind w:hanging="360"/>
        <w:contextualSpacing/>
      </w:pPr>
      <w:r>
        <w:t>if a hearing is to take place, the hearing bundle shall not exceed one A4 lever arch file</w:t>
      </w:r>
      <w:r w:rsidR="008315DE">
        <w:t>.</w:t>
      </w:r>
    </w:p>
    <w:p w14:paraId="68A382B2" w14:textId="77777777" w:rsidR="00803C5F" w:rsidRDefault="00803C5F"/>
    <w:p w14:paraId="63D9CF69" w14:textId="22573B96" w:rsidR="00803C5F" w:rsidRDefault="0055597F">
      <w:pPr>
        <w:numPr>
          <w:ilvl w:val="0"/>
          <w:numId w:val="1"/>
        </w:numPr>
        <w:ind w:hanging="360"/>
        <w:contextualSpacing/>
      </w:pPr>
      <w:r>
        <w:t>Each party may be directed by the Arbitration Manager to make an additional payment following the issue of the procedural timetable if either of following applies:</w:t>
      </w:r>
    </w:p>
    <w:p w14:paraId="35F6ECCD" w14:textId="77777777" w:rsidR="00803C5F" w:rsidRDefault="00803C5F">
      <w:pPr>
        <w:ind w:left="720"/>
      </w:pPr>
    </w:p>
    <w:p w14:paraId="3B585303" w14:textId="2AE283FE" w:rsidR="00CF4C70" w:rsidRDefault="00CF4C70">
      <w:pPr>
        <w:numPr>
          <w:ilvl w:val="1"/>
          <w:numId w:val="1"/>
        </w:numPr>
        <w:ind w:hanging="360"/>
        <w:contextualSpacing/>
      </w:pPr>
      <w:r>
        <w:t>Application exceeds £50,000: If the application was made for claims under £50,000 but ends up exceeding this value then an additional fee of £1,500 plus VAT will be payable per party.</w:t>
      </w:r>
    </w:p>
    <w:p w14:paraId="5CE73F66" w14:textId="27D89852" w:rsidR="00803C5F" w:rsidRDefault="0055597F">
      <w:pPr>
        <w:numPr>
          <w:ilvl w:val="1"/>
          <w:numId w:val="1"/>
        </w:numPr>
        <w:ind w:hanging="360"/>
        <w:contextualSpacing/>
      </w:pPr>
      <w:r>
        <w:t xml:space="preserve">Hearing: If the parties require a </w:t>
      </w:r>
      <w:r w:rsidR="00607142">
        <w:t>H</w:t>
      </w:r>
      <w:r>
        <w:t xml:space="preserve">earing </w:t>
      </w:r>
      <w:r w:rsidR="00607142">
        <w:t xml:space="preserve">and did not pay for the hearing option when making the application, </w:t>
      </w:r>
      <w:r>
        <w:t xml:space="preserve">an additional fee of </w:t>
      </w:r>
      <w:r w:rsidR="00607142">
        <w:t xml:space="preserve">£2,500 plus VAT </w:t>
      </w:r>
      <w:r>
        <w:t>per party will be payable. This additional fee does not include the cost of a venue for the hearing or meeting, the Arbitrator’s expenses for the hearing or meeting, or any other expenses associated with the hearing or meeting</w:t>
      </w:r>
      <w:r w:rsidR="008315DE">
        <w:t>. Hearing time is limited to one day.</w:t>
      </w:r>
    </w:p>
    <w:p w14:paraId="2E781E79" w14:textId="50634C6F" w:rsidR="00803C5F" w:rsidRDefault="0055597F">
      <w:pPr>
        <w:numPr>
          <w:ilvl w:val="1"/>
          <w:numId w:val="1"/>
        </w:numPr>
        <w:ind w:hanging="360"/>
        <w:contextualSpacing/>
      </w:pPr>
      <w:r>
        <w:t xml:space="preserve">Site Visit: If a half-day site visit is required, </w:t>
      </w:r>
      <w:proofErr w:type="gramStart"/>
      <w:r>
        <w:t>in order for</w:t>
      </w:r>
      <w:proofErr w:type="gramEnd"/>
      <w:r>
        <w:t xml:space="preserve"> the Arbitrator to better appreciate the matters in dispute, an additional fee of </w:t>
      </w:r>
      <w:r w:rsidR="00607142">
        <w:t xml:space="preserve">£1,500 plus VAT </w:t>
      </w:r>
      <w:r>
        <w:t>per party will be payable. This additional fee does not include the Arbitrator’s expenses, or any other expenses associated with the site visit.</w:t>
      </w:r>
    </w:p>
    <w:p w14:paraId="5135C972" w14:textId="77777777" w:rsidR="00803C5F" w:rsidRDefault="00803C5F">
      <w:pPr>
        <w:ind w:left="720"/>
      </w:pPr>
    </w:p>
    <w:p w14:paraId="177DEAD1" w14:textId="77777777" w:rsidR="00803C5F" w:rsidRDefault="0055597F">
      <w:pPr>
        <w:numPr>
          <w:ilvl w:val="0"/>
          <w:numId w:val="1"/>
        </w:numPr>
        <w:ind w:hanging="360"/>
        <w:contextualSpacing/>
      </w:pPr>
      <w:r>
        <w:t xml:space="preserve">It is for the Arbitrator to decide if one side can recover from the other any costs of the arbitration, which includes the fixed fee but will not include any legal expenses. Unless the parties agree otherwise, one side shall not recover more than the fixed fee paid by them plus the fixed fee paid by the other party towards their costs of the arbitration. </w:t>
      </w:r>
    </w:p>
    <w:p w14:paraId="54A60394" w14:textId="77777777" w:rsidR="00803C5F" w:rsidRDefault="00803C5F"/>
    <w:p w14:paraId="7FE432AF" w14:textId="687BA875" w:rsidR="00803C5F" w:rsidRDefault="0055597F">
      <w:pPr>
        <w:numPr>
          <w:ilvl w:val="0"/>
          <w:numId w:val="1"/>
        </w:numPr>
        <w:ind w:hanging="360"/>
        <w:contextualSpacing/>
      </w:pPr>
      <w:r>
        <w:t xml:space="preserve">Within </w:t>
      </w:r>
      <w:r w:rsidR="008315DE">
        <w:t xml:space="preserve">90 days of </w:t>
      </w:r>
      <w:r w:rsidR="004C6635">
        <w:t>the close of submissions</w:t>
      </w:r>
      <w:r w:rsidR="00607142">
        <w:t xml:space="preserve">, </w:t>
      </w:r>
      <w:r>
        <w:t xml:space="preserve">the Arbitrator will issue to the parties a written reasoned Award. The Award will be signed and dated by the </w:t>
      </w:r>
      <w:r w:rsidR="003334F5">
        <w:t>Arbitrator and</w:t>
      </w:r>
      <w:r>
        <w:t xml:space="preserve"> will be final and legally binding. The Arbitrator will, simultaneously, send to the Arbitration Manager a copy of his award, together with an invoice of his charges. Upon receipt of that invoice, the Arbitration Manager will release to the Arbitrator his or her fee.</w:t>
      </w:r>
    </w:p>
    <w:p w14:paraId="70794F52" w14:textId="77777777" w:rsidR="00803C5F" w:rsidRDefault="00803C5F"/>
    <w:p w14:paraId="78E4DE6B" w14:textId="22DCE6C5" w:rsidR="00803C5F" w:rsidRDefault="0055597F">
      <w:pPr>
        <w:numPr>
          <w:ilvl w:val="0"/>
          <w:numId w:val="1"/>
        </w:numPr>
        <w:ind w:hanging="360"/>
        <w:contextualSpacing/>
      </w:pPr>
      <w:r>
        <w:t>If the parties settle their dispute after commencing the arbitration, they must inform the Arbitration Manager and the Arbitrator, if appointed, immediately. In the event of settlement after the Arbitrator has been appointed, the Arbitration Manager will release to the Arbitrator his or her fee, upon receipt of the Arbitrator’s invoice</w:t>
      </w:r>
      <w:r w:rsidR="00607142">
        <w:t>, and no payments made will be returned to the parties</w:t>
      </w:r>
      <w:r>
        <w:t xml:space="preserve">. </w:t>
      </w:r>
    </w:p>
    <w:p w14:paraId="7F35A2C8" w14:textId="77777777" w:rsidR="00803C5F" w:rsidRDefault="00803C5F"/>
    <w:p w14:paraId="47B2D2DC" w14:textId="77777777" w:rsidR="00803C5F" w:rsidRDefault="0055597F">
      <w:pPr>
        <w:numPr>
          <w:ilvl w:val="0"/>
          <w:numId w:val="1"/>
        </w:numPr>
        <w:ind w:hanging="360"/>
        <w:contextualSpacing/>
      </w:pPr>
      <w:r>
        <w:t>The Arbitration Act 1996 (the Act) or any amendments to the Act, or alternative substitute legislation, shall apply to the arbitration, and the Arbitrator shall have all the powers available to an Arbitrator under that Act.</w:t>
      </w:r>
    </w:p>
    <w:p w14:paraId="325013AB" w14:textId="77777777" w:rsidR="00803C5F" w:rsidRDefault="00803C5F"/>
    <w:p w14:paraId="450F677B" w14:textId="77777777" w:rsidR="00803C5F" w:rsidRDefault="0055597F">
      <w:pPr>
        <w:numPr>
          <w:ilvl w:val="0"/>
          <w:numId w:val="1"/>
        </w:numPr>
        <w:ind w:hanging="360"/>
        <w:contextualSpacing/>
      </w:pPr>
      <w:r>
        <w:t>All communications will be in writing and any correspondence which a party sends to the Arbitrator, or the Arbitrator sends to a party, must be copied to the other party at the same time.</w:t>
      </w:r>
    </w:p>
    <w:p w14:paraId="7B01A3C9" w14:textId="77777777" w:rsidR="00803C5F" w:rsidRDefault="00803C5F"/>
    <w:p w14:paraId="08F54883" w14:textId="1D9666AC" w:rsidR="00803C5F" w:rsidRDefault="0055597F">
      <w:pPr>
        <w:numPr>
          <w:ilvl w:val="0"/>
          <w:numId w:val="1"/>
        </w:numPr>
        <w:ind w:hanging="360"/>
        <w:contextualSpacing/>
      </w:pPr>
      <w:r>
        <w:t xml:space="preserve">Neither the Arbitration Manager nor any of its officers, agents, or employees will be liable </w:t>
      </w:r>
      <w:r>
        <w:lastRenderedPageBreak/>
        <w:t>for anything done or omitted to be done in the appointment or nominati</w:t>
      </w:r>
      <w:r w:rsidR="002E1923">
        <w:t xml:space="preserve">on of an Arbitrator under </w:t>
      </w:r>
      <w:r w:rsidR="00E93632">
        <w:t>The Private Arbitration Court</w:t>
      </w:r>
      <w:r w:rsidR="00607142">
        <w:t xml:space="preserve"> </w:t>
      </w:r>
      <w:r>
        <w:t xml:space="preserve">or in respect </w:t>
      </w:r>
      <w:r w:rsidR="002E1923">
        <w:t xml:space="preserve">of the administration of </w:t>
      </w:r>
      <w:r w:rsidR="00E93632">
        <w:t>The Private Arbitration Court</w:t>
      </w:r>
      <w:r>
        <w:t>, unless the act or omission was shown to be in bad faith. Neither the Arbitration Manager nor its officers, agents, or employees shall be liable for anything done or omitted to be done by an Arbitrator nominated or appointed by the A</w:t>
      </w:r>
      <w:r w:rsidR="002E1923">
        <w:t xml:space="preserve">rbitration Manager under </w:t>
      </w:r>
      <w:r w:rsidR="00E93632">
        <w:t>The Private Arbitration Court</w:t>
      </w:r>
      <w:r w:rsidR="00607142">
        <w:t xml:space="preserve"> </w:t>
      </w:r>
      <w:r>
        <w:t>(or its employees or agents) in the discharge or purported discharge.</w:t>
      </w:r>
    </w:p>
    <w:p w14:paraId="0FC21D9C" w14:textId="6AFA6E03" w:rsidR="003334F5" w:rsidRDefault="003334F5">
      <w:r>
        <w:br w:type="page"/>
      </w:r>
    </w:p>
    <w:p w14:paraId="245B5D4E" w14:textId="77777777" w:rsidR="00803C5F" w:rsidRDefault="00803C5F"/>
    <w:p w14:paraId="24F6ADB5" w14:textId="77777777" w:rsidR="00803C5F" w:rsidRDefault="00803C5F"/>
    <w:p w14:paraId="2672CFE6" w14:textId="77777777" w:rsidR="00803C5F" w:rsidRDefault="00803C5F"/>
    <w:p w14:paraId="1D9E678C" w14:textId="22137E98" w:rsidR="00803C5F" w:rsidRDefault="00E93632" w:rsidP="00E93632">
      <w:pPr>
        <w:jc w:val="center"/>
      </w:pPr>
      <w:r>
        <w:rPr>
          <w:noProof/>
        </w:rPr>
        <w:drawing>
          <wp:inline distT="0" distB="0" distL="0" distR="0" wp14:anchorId="60EC439D" wp14:editId="6BB877F7">
            <wp:extent cx="3439413" cy="1141992"/>
            <wp:effectExtent l="0" t="0" r="8890" b="1270"/>
            <wp:docPr id="1186189753"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3108"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60F73A27" w14:textId="77777777" w:rsidR="00803C5F" w:rsidRDefault="00803C5F"/>
    <w:p w14:paraId="72321387" w14:textId="77777777" w:rsidR="00803C5F" w:rsidRDefault="00803C5F"/>
    <w:p w14:paraId="06240AA6" w14:textId="77777777" w:rsidR="00803C5F" w:rsidRDefault="0055597F">
      <w:pPr>
        <w:jc w:val="center"/>
      </w:pPr>
      <w:r>
        <w:rPr>
          <w:b/>
        </w:rPr>
        <w:t xml:space="preserve">Model Arbitration Notice </w:t>
      </w:r>
    </w:p>
    <w:p w14:paraId="2FB9254C" w14:textId="77777777" w:rsidR="00803C5F" w:rsidRDefault="00803C5F"/>
    <w:p w14:paraId="26F937F4" w14:textId="23684B61" w:rsidR="003334F5" w:rsidRDefault="003334F5">
      <w:r>
        <w:t xml:space="preserve">There are two ways to apply. To apply online please visit </w:t>
      </w:r>
      <w:hyperlink r:id="rId8" w:history="1">
        <w:r w:rsidRPr="003334F5">
          <w:rPr>
            <w:rStyle w:val="Hyperlink"/>
          </w:rPr>
          <w:t>here</w:t>
        </w:r>
      </w:hyperlink>
      <w:r>
        <w:t>.</w:t>
      </w:r>
    </w:p>
    <w:p w14:paraId="6F4751AF" w14:textId="77777777" w:rsidR="003334F5" w:rsidRDefault="003334F5"/>
    <w:p w14:paraId="06D24BF8" w14:textId="77777777" w:rsidR="003334F5" w:rsidRDefault="003334F5">
      <w:r>
        <w:t>For postal applications (or applications submitted by email) use this form.</w:t>
      </w:r>
    </w:p>
    <w:p w14:paraId="720E9B4A" w14:textId="77777777" w:rsidR="003334F5" w:rsidRDefault="003334F5"/>
    <w:p w14:paraId="6CD8A7C7" w14:textId="4CB90C03" w:rsidR="00803C5F" w:rsidRDefault="0055597F">
      <w:r>
        <w:t xml:space="preserve">In the matter of a dispute between the following: </w:t>
      </w:r>
    </w:p>
    <w:p w14:paraId="4EA96EF5" w14:textId="77777777" w:rsidR="00803C5F" w:rsidRDefault="00803C5F"/>
    <w:p w14:paraId="55129BF9" w14:textId="77777777" w:rsidR="00803C5F" w:rsidRDefault="00803C5F"/>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03C5F" w14:paraId="79FF1E96" w14:textId="77777777">
        <w:tc>
          <w:tcPr>
            <w:tcW w:w="4680" w:type="dxa"/>
            <w:tcMar>
              <w:top w:w="100" w:type="dxa"/>
              <w:left w:w="100" w:type="dxa"/>
              <w:bottom w:w="100" w:type="dxa"/>
              <w:right w:w="100" w:type="dxa"/>
            </w:tcMar>
          </w:tcPr>
          <w:p w14:paraId="45F679AC" w14:textId="77777777" w:rsidR="00803C5F" w:rsidRDefault="0055597F">
            <w:pPr>
              <w:spacing w:line="240" w:lineRule="auto"/>
              <w:contextualSpacing w:val="0"/>
            </w:pPr>
            <w:r>
              <w:rPr>
                <w:b/>
              </w:rPr>
              <w:t>Applicant / First Party**</w:t>
            </w:r>
          </w:p>
          <w:p w14:paraId="1BA689A3" w14:textId="77777777" w:rsidR="00803C5F" w:rsidRDefault="00803C5F">
            <w:pPr>
              <w:spacing w:line="240" w:lineRule="auto"/>
              <w:contextualSpacing w:val="0"/>
            </w:pPr>
          </w:p>
          <w:p w14:paraId="5EFAF6FF" w14:textId="77777777" w:rsidR="00803C5F" w:rsidRDefault="00803C5F">
            <w:pPr>
              <w:spacing w:line="240" w:lineRule="auto"/>
              <w:contextualSpacing w:val="0"/>
            </w:pPr>
          </w:p>
        </w:tc>
        <w:tc>
          <w:tcPr>
            <w:tcW w:w="4680" w:type="dxa"/>
            <w:tcMar>
              <w:top w:w="100" w:type="dxa"/>
              <w:left w:w="100" w:type="dxa"/>
              <w:bottom w:w="100" w:type="dxa"/>
              <w:right w:w="100" w:type="dxa"/>
            </w:tcMar>
          </w:tcPr>
          <w:p w14:paraId="5CE28B19" w14:textId="77777777" w:rsidR="00803C5F" w:rsidRDefault="0055597F">
            <w:pPr>
              <w:spacing w:line="240" w:lineRule="auto"/>
              <w:contextualSpacing w:val="0"/>
            </w:pPr>
            <w:r>
              <w:rPr>
                <w:b/>
              </w:rPr>
              <w:t>Respondent / Second Party**</w:t>
            </w:r>
          </w:p>
        </w:tc>
      </w:tr>
      <w:tr w:rsidR="00803C5F" w14:paraId="255EC2B9" w14:textId="77777777">
        <w:tc>
          <w:tcPr>
            <w:tcW w:w="4680" w:type="dxa"/>
            <w:tcMar>
              <w:top w:w="100" w:type="dxa"/>
              <w:left w:w="100" w:type="dxa"/>
              <w:bottom w:w="100" w:type="dxa"/>
              <w:right w:w="100" w:type="dxa"/>
            </w:tcMar>
          </w:tcPr>
          <w:p w14:paraId="4B455EE5" w14:textId="77777777" w:rsidR="00803C5F" w:rsidRDefault="0055597F">
            <w:pPr>
              <w:spacing w:line="240" w:lineRule="auto"/>
              <w:contextualSpacing w:val="0"/>
            </w:pPr>
            <w:r>
              <w:rPr>
                <w:b/>
              </w:rPr>
              <w:t>Address</w:t>
            </w:r>
          </w:p>
          <w:p w14:paraId="3F566184" w14:textId="77777777" w:rsidR="00803C5F" w:rsidRDefault="00803C5F">
            <w:pPr>
              <w:spacing w:line="240" w:lineRule="auto"/>
              <w:contextualSpacing w:val="0"/>
            </w:pPr>
          </w:p>
          <w:p w14:paraId="0157FD72" w14:textId="77777777" w:rsidR="00803C5F" w:rsidRDefault="00803C5F">
            <w:pPr>
              <w:spacing w:line="240" w:lineRule="auto"/>
              <w:contextualSpacing w:val="0"/>
            </w:pPr>
          </w:p>
        </w:tc>
        <w:tc>
          <w:tcPr>
            <w:tcW w:w="4680" w:type="dxa"/>
            <w:tcMar>
              <w:top w:w="100" w:type="dxa"/>
              <w:left w:w="100" w:type="dxa"/>
              <w:bottom w:w="100" w:type="dxa"/>
              <w:right w:w="100" w:type="dxa"/>
            </w:tcMar>
          </w:tcPr>
          <w:p w14:paraId="27A2A348" w14:textId="77777777" w:rsidR="00803C5F" w:rsidRDefault="0055597F">
            <w:pPr>
              <w:spacing w:line="240" w:lineRule="auto"/>
              <w:contextualSpacing w:val="0"/>
            </w:pPr>
            <w:r>
              <w:rPr>
                <w:b/>
              </w:rPr>
              <w:t>Address</w:t>
            </w:r>
          </w:p>
        </w:tc>
      </w:tr>
      <w:tr w:rsidR="00803C5F" w14:paraId="6AF4A562" w14:textId="77777777">
        <w:tc>
          <w:tcPr>
            <w:tcW w:w="4680" w:type="dxa"/>
            <w:tcMar>
              <w:top w:w="100" w:type="dxa"/>
              <w:left w:w="100" w:type="dxa"/>
              <w:bottom w:w="100" w:type="dxa"/>
              <w:right w:w="100" w:type="dxa"/>
            </w:tcMar>
          </w:tcPr>
          <w:p w14:paraId="3F60EFB6" w14:textId="77777777" w:rsidR="00803C5F" w:rsidRDefault="0055597F">
            <w:pPr>
              <w:spacing w:line="240" w:lineRule="auto"/>
              <w:contextualSpacing w:val="0"/>
            </w:pPr>
            <w:r>
              <w:rPr>
                <w:b/>
              </w:rPr>
              <w:t>Phone</w:t>
            </w:r>
          </w:p>
          <w:p w14:paraId="04D8F9AB" w14:textId="77777777" w:rsidR="00803C5F" w:rsidRDefault="00803C5F">
            <w:pPr>
              <w:spacing w:line="240" w:lineRule="auto"/>
              <w:contextualSpacing w:val="0"/>
            </w:pPr>
          </w:p>
        </w:tc>
        <w:tc>
          <w:tcPr>
            <w:tcW w:w="4680" w:type="dxa"/>
            <w:tcMar>
              <w:top w:w="100" w:type="dxa"/>
              <w:left w:w="100" w:type="dxa"/>
              <w:bottom w:w="100" w:type="dxa"/>
              <w:right w:w="100" w:type="dxa"/>
            </w:tcMar>
          </w:tcPr>
          <w:p w14:paraId="12EEB724" w14:textId="77777777" w:rsidR="00803C5F" w:rsidRDefault="0055597F">
            <w:pPr>
              <w:spacing w:line="240" w:lineRule="auto"/>
              <w:contextualSpacing w:val="0"/>
            </w:pPr>
            <w:r>
              <w:rPr>
                <w:b/>
              </w:rPr>
              <w:t>Phone</w:t>
            </w:r>
          </w:p>
        </w:tc>
      </w:tr>
      <w:tr w:rsidR="00803C5F" w14:paraId="0BA72174" w14:textId="77777777">
        <w:tc>
          <w:tcPr>
            <w:tcW w:w="4680" w:type="dxa"/>
            <w:tcMar>
              <w:top w:w="100" w:type="dxa"/>
              <w:left w:w="100" w:type="dxa"/>
              <w:bottom w:w="100" w:type="dxa"/>
              <w:right w:w="100" w:type="dxa"/>
            </w:tcMar>
          </w:tcPr>
          <w:p w14:paraId="4679A17A" w14:textId="77777777" w:rsidR="00803C5F" w:rsidRDefault="0055597F">
            <w:pPr>
              <w:spacing w:line="240" w:lineRule="auto"/>
              <w:contextualSpacing w:val="0"/>
            </w:pPr>
            <w:r>
              <w:rPr>
                <w:b/>
              </w:rPr>
              <w:t>Email</w:t>
            </w:r>
          </w:p>
          <w:p w14:paraId="4334AF58" w14:textId="77777777" w:rsidR="00803C5F" w:rsidRDefault="00803C5F">
            <w:pPr>
              <w:spacing w:line="240" w:lineRule="auto"/>
              <w:contextualSpacing w:val="0"/>
            </w:pPr>
          </w:p>
        </w:tc>
        <w:tc>
          <w:tcPr>
            <w:tcW w:w="4680" w:type="dxa"/>
            <w:tcMar>
              <w:top w:w="100" w:type="dxa"/>
              <w:left w:w="100" w:type="dxa"/>
              <w:bottom w:w="100" w:type="dxa"/>
              <w:right w:w="100" w:type="dxa"/>
            </w:tcMar>
          </w:tcPr>
          <w:p w14:paraId="57379DA2" w14:textId="77777777" w:rsidR="00803C5F" w:rsidRDefault="0055597F">
            <w:pPr>
              <w:spacing w:line="240" w:lineRule="auto"/>
              <w:contextualSpacing w:val="0"/>
            </w:pPr>
            <w:r>
              <w:rPr>
                <w:b/>
              </w:rPr>
              <w:t>Email</w:t>
            </w:r>
          </w:p>
        </w:tc>
      </w:tr>
      <w:tr w:rsidR="00803C5F" w14:paraId="3317049D" w14:textId="77777777">
        <w:tc>
          <w:tcPr>
            <w:tcW w:w="4680" w:type="dxa"/>
            <w:tcMar>
              <w:top w:w="100" w:type="dxa"/>
              <w:left w:w="100" w:type="dxa"/>
              <w:bottom w:w="100" w:type="dxa"/>
              <w:right w:w="100" w:type="dxa"/>
            </w:tcMar>
          </w:tcPr>
          <w:p w14:paraId="25BB0B33" w14:textId="77777777" w:rsidR="00803C5F" w:rsidRDefault="0055597F">
            <w:pPr>
              <w:spacing w:line="240" w:lineRule="auto"/>
              <w:contextualSpacing w:val="0"/>
            </w:pPr>
            <w:r>
              <w:rPr>
                <w:b/>
              </w:rPr>
              <w:t>Represented by**</w:t>
            </w:r>
          </w:p>
          <w:p w14:paraId="13A975E0" w14:textId="77777777" w:rsidR="00803C5F" w:rsidRDefault="00803C5F">
            <w:pPr>
              <w:spacing w:line="240" w:lineRule="auto"/>
              <w:contextualSpacing w:val="0"/>
            </w:pPr>
          </w:p>
        </w:tc>
        <w:tc>
          <w:tcPr>
            <w:tcW w:w="4680" w:type="dxa"/>
            <w:tcMar>
              <w:top w:w="100" w:type="dxa"/>
              <w:left w:w="100" w:type="dxa"/>
              <w:bottom w:w="100" w:type="dxa"/>
              <w:right w:w="100" w:type="dxa"/>
            </w:tcMar>
          </w:tcPr>
          <w:p w14:paraId="671BDDC0" w14:textId="77777777" w:rsidR="00803C5F" w:rsidRDefault="0055597F">
            <w:pPr>
              <w:spacing w:line="240" w:lineRule="auto"/>
              <w:contextualSpacing w:val="0"/>
            </w:pPr>
            <w:r>
              <w:rPr>
                <w:b/>
              </w:rPr>
              <w:t>Represented by**</w:t>
            </w:r>
          </w:p>
        </w:tc>
      </w:tr>
      <w:tr w:rsidR="00803C5F" w14:paraId="46971C70" w14:textId="77777777">
        <w:tc>
          <w:tcPr>
            <w:tcW w:w="4680" w:type="dxa"/>
            <w:tcMar>
              <w:top w:w="100" w:type="dxa"/>
              <w:left w:w="100" w:type="dxa"/>
              <w:bottom w:w="100" w:type="dxa"/>
              <w:right w:w="100" w:type="dxa"/>
            </w:tcMar>
          </w:tcPr>
          <w:p w14:paraId="1518CA2A" w14:textId="77777777" w:rsidR="00803C5F" w:rsidRDefault="0055597F">
            <w:pPr>
              <w:spacing w:line="240" w:lineRule="auto"/>
              <w:contextualSpacing w:val="0"/>
            </w:pPr>
            <w:r>
              <w:rPr>
                <w:b/>
              </w:rPr>
              <w:t>Address</w:t>
            </w:r>
          </w:p>
          <w:p w14:paraId="7310598A" w14:textId="77777777" w:rsidR="00803C5F" w:rsidRDefault="00803C5F">
            <w:pPr>
              <w:spacing w:line="240" w:lineRule="auto"/>
              <w:contextualSpacing w:val="0"/>
            </w:pPr>
          </w:p>
          <w:p w14:paraId="2F6DAB8D" w14:textId="77777777" w:rsidR="00803C5F" w:rsidRDefault="00803C5F">
            <w:pPr>
              <w:spacing w:line="240" w:lineRule="auto"/>
              <w:contextualSpacing w:val="0"/>
            </w:pPr>
          </w:p>
        </w:tc>
        <w:tc>
          <w:tcPr>
            <w:tcW w:w="4680" w:type="dxa"/>
            <w:tcMar>
              <w:top w:w="100" w:type="dxa"/>
              <w:left w:w="100" w:type="dxa"/>
              <w:bottom w:w="100" w:type="dxa"/>
              <w:right w:w="100" w:type="dxa"/>
            </w:tcMar>
          </w:tcPr>
          <w:p w14:paraId="1D5AFC8B" w14:textId="77777777" w:rsidR="00803C5F" w:rsidRDefault="0055597F">
            <w:pPr>
              <w:spacing w:line="240" w:lineRule="auto"/>
              <w:contextualSpacing w:val="0"/>
            </w:pPr>
            <w:r>
              <w:rPr>
                <w:b/>
              </w:rPr>
              <w:t>Address</w:t>
            </w:r>
          </w:p>
        </w:tc>
      </w:tr>
      <w:tr w:rsidR="00803C5F" w14:paraId="4B53DCAE" w14:textId="77777777">
        <w:tc>
          <w:tcPr>
            <w:tcW w:w="4680" w:type="dxa"/>
            <w:tcMar>
              <w:top w:w="100" w:type="dxa"/>
              <w:left w:w="100" w:type="dxa"/>
              <w:bottom w:w="100" w:type="dxa"/>
              <w:right w:w="100" w:type="dxa"/>
            </w:tcMar>
          </w:tcPr>
          <w:p w14:paraId="2E2ADA84" w14:textId="77777777" w:rsidR="00803C5F" w:rsidRDefault="0055597F">
            <w:pPr>
              <w:spacing w:line="240" w:lineRule="auto"/>
              <w:contextualSpacing w:val="0"/>
            </w:pPr>
            <w:r>
              <w:rPr>
                <w:b/>
              </w:rPr>
              <w:t>Phone</w:t>
            </w:r>
          </w:p>
          <w:p w14:paraId="3D0DCE06" w14:textId="77777777" w:rsidR="00803C5F" w:rsidRDefault="00803C5F">
            <w:pPr>
              <w:spacing w:line="240" w:lineRule="auto"/>
              <w:contextualSpacing w:val="0"/>
            </w:pPr>
          </w:p>
        </w:tc>
        <w:tc>
          <w:tcPr>
            <w:tcW w:w="4680" w:type="dxa"/>
            <w:tcMar>
              <w:top w:w="100" w:type="dxa"/>
              <w:left w:w="100" w:type="dxa"/>
              <w:bottom w:w="100" w:type="dxa"/>
              <w:right w:w="100" w:type="dxa"/>
            </w:tcMar>
          </w:tcPr>
          <w:p w14:paraId="55A58E60" w14:textId="77777777" w:rsidR="00803C5F" w:rsidRDefault="0055597F">
            <w:pPr>
              <w:spacing w:line="240" w:lineRule="auto"/>
              <w:contextualSpacing w:val="0"/>
            </w:pPr>
            <w:r>
              <w:rPr>
                <w:b/>
              </w:rPr>
              <w:t>Phone</w:t>
            </w:r>
          </w:p>
        </w:tc>
      </w:tr>
      <w:tr w:rsidR="00803C5F" w14:paraId="25809AFF" w14:textId="77777777">
        <w:tc>
          <w:tcPr>
            <w:tcW w:w="4680" w:type="dxa"/>
            <w:tcMar>
              <w:top w:w="100" w:type="dxa"/>
              <w:left w:w="100" w:type="dxa"/>
              <w:bottom w:w="100" w:type="dxa"/>
              <w:right w:w="100" w:type="dxa"/>
            </w:tcMar>
          </w:tcPr>
          <w:p w14:paraId="6B45D6F3" w14:textId="77777777" w:rsidR="00803C5F" w:rsidRDefault="0055597F">
            <w:pPr>
              <w:spacing w:line="240" w:lineRule="auto"/>
              <w:contextualSpacing w:val="0"/>
            </w:pPr>
            <w:r>
              <w:rPr>
                <w:b/>
              </w:rPr>
              <w:t>Email</w:t>
            </w:r>
          </w:p>
          <w:p w14:paraId="71541D03" w14:textId="77777777" w:rsidR="00803C5F" w:rsidRDefault="00803C5F">
            <w:pPr>
              <w:spacing w:line="240" w:lineRule="auto"/>
              <w:contextualSpacing w:val="0"/>
            </w:pPr>
          </w:p>
        </w:tc>
        <w:tc>
          <w:tcPr>
            <w:tcW w:w="4680" w:type="dxa"/>
            <w:tcMar>
              <w:top w:w="100" w:type="dxa"/>
              <w:left w:w="100" w:type="dxa"/>
              <w:bottom w:w="100" w:type="dxa"/>
              <w:right w:w="100" w:type="dxa"/>
            </w:tcMar>
          </w:tcPr>
          <w:p w14:paraId="42E9FC4B" w14:textId="77777777" w:rsidR="00803C5F" w:rsidRDefault="0055597F">
            <w:pPr>
              <w:spacing w:line="240" w:lineRule="auto"/>
              <w:contextualSpacing w:val="0"/>
            </w:pPr>
            <w:r>
              <w:rPr>
                <w:b/>
              </w:rPr>
              <w:t>Email</w:t>
            </w:r>
          </w:p>
        </w:tc>
      </w:tr>
    </w:tbl>
    <w:p w14:paraId="51C6E2A1" w14:textId="77777777" w:rsidR="00803C5F" w:rsidRDefault="0055597F">
      <w:r>
        <w:t>**Delete as applicable or add, if necessary, names of other parties or representatives</w:t>
      </w:r>
    </w:p>
    <w:p w14:paraId="55F12AF4" w14:textId="77777777" w:rsidR="00803C5F" w:rsidRDefault="00803C5F"/>
    <w:p w14:paraId="2009C522" w14:textId="77777777" w:rsidR="00803C5F" w:rsidRDefault="00803C5F"/>
    <w:p w14:paraId="31DC71CF" w14:textId="77777777" w:rsidR="00803C5F" w:rsidRDefault="00803C5F"/>
    <w:p w14:paraId="7106DE79" w14:textId="77777777" w:rsidR="00803C5F" w:rsidRDefault="00803C5F"/>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74A25692" w14:textId="77777777">
        <w:tc>
          <w:tcPr>
            <w:tcW w:w="9360" w:type="dxa"/>
            <w:tcMar>
              <w:top w:w="100" w:type="dxa"/>
              <w:left w:w="100" w:type="dxa"/>
              <w:bottom w:w="100" w:type="dxa"/>
              <w:right w:w="100" w:type="dxa"/>
            </w:tcMar>
          </w:tcPr>
          <w:p w14:paraId="2F91C4B7" w14:textId="607EDCE1" w:rsidR="00803C5F" w:rsidRDefault="0055597F">
            <w:pPr>
              <w:spacing w:line="240" w:lineRule="auto"/>
              <w:contextualSpacing w:val="0"/>
            </w:pPr>
            <w:r>
              <w:rPr>
                <w:b/>
              </w:rPr>
              <w:t>Brief details of the dispute</w:t>
            </w:r>
            <w:r w:rsidR="003E6800">
              <w:rPr>
                <w:b/>
              </w:rPr>
              <w:t xml:space="preserve">, including </w:t>
            </w:r>
            <w:proofErr w:type="gramStart"/>
            <w:r>
              <w:rPr>
                <w:b/>
              </w:rPr>
              <w:t>a brief summary</w:t>
            </w:r>
            <w:proofErr w:type="gramEnd"/>
            <w:r>
              <w:rPr>
                <w:b/>
              </w:rPr>
              <w:t xml:space="preserve"> of the dispute, the issues to be determined and the relief sought</w:t>
            </w:r>
            <w:r w:rsidR="003E6800">
              <w:rPr>
                <w:b/>
              </w:rPr>
              <w:t>.</w:t>
            </w:r>
          </w:p>
          <w:p w14:paraId="06346498" w14:textId="77777777" w:rsidR="00803C5F" w:rsidRDefault="00803C5F">
            <w:pPr>
              <w:spacing w:line="240" w:lineRule="auto"/>
              <w:contextualSpacing w:val="0"/>
            </w:pPr>
          </w:p>
          <w:p w14:paraId="2303D2F8" w14:textId="77777777" w:rsidR="00803C5F" w:rsidRDefault="00803C5F">
            <w:pPr>
              <w:spacing w:line="240" w:lineRule="auto"/>
              <w:contextualSpacing w:val="0"/>
            </w:pPr>
          </w:p>
          <w:p w14:paraId="64C12CF6" w14:textId="77777777" w:rsidR="00803C5F" w:rsidRDefault="00803C5F">
            <w:pPr>
              <w:spacing w:line="240" w:lineRule="auto"/>
              <w:contextualSpacing w:val="0"/>
            </w:pPr>
          </w:p>
          <w:p w14:paraId="61E6D466" w14:textId="77777777" w:rsidR="00803C5F" w:rsidRDefault="00803C5F">
            <w:pPr>
              <w:spacing w:line="240" w:lineRule="auto"/>
              <w:contextualSpacing w:val="0"/>
            </w:pPr>
          </w:p>
          <w:p w14:paraId="6F6F30A2" w14:textId="77777777" w:rsidR="00803C5F" w:rsidRDefault="00803C5F">
            <w:pPr>
              <w:spacing w:line="240" w:lineRule="auto"/>
              <w:contextualSpacing w:val="0"/>
            </w:pPr>
          </w:p>
          <w:p w14:paraId="17A9A00E" w14:textId="77777777" w:rsidR="00803C5F" w:rsidRDefault="00803C5F">
            <w:pPr>
              <w:spacing w:line="240" w:lineRule="auto"/>
              <w:contextualSpacing w:val="0"/>
            </w:pPr>
          </w:p>
          <w:p w14:paraId="616DED76" w14:textId="77777777" w:rsidR="00803C5F" w:rsidRDefault="00803C5F">
            <w:pPr>
              <w:spacing w:line="240" w:lineRule="auto"/>
              <w:contextualSpacing w:val="0"/>
            </w:pPr>
          </w:p>
          <w:p w14:paraId="513BA06F" w14:textId="77777777" w:rsidR="00803C5F" w:rsidRDefault="00803C5F">
            <w:pPr>
              <w:spacing w:line="240" w:lineRule="auto"/>
              <w:contextualSpacing w:val="0"/>
            </w:pPr>
          </w:p>
          <w:p w14:paraId="7786909F" w14:textId="77777777" w:rsidR="00803C5F" w:rsidRDefault="00803C5F">
            <w:pPr>
              <w:spacing w:line="240" w:lineRule="auto"/>
              <w:contextualSpacing w:val="0"/>
            </w:pPr>
          </w:p>
          <w:p w14:paraId="00671CDA" w14:textId="77777777" w:rsidR="00803C5F" w:rsidRDefault="00803C5F">
            <w:pPr>
              <w:spacing w:line="240" w:lineRule="auto"/>
              <w:contextualSpacing w:val="0"/>
            </w:pPr>
          </w:p>
          <w:p w14:paraId="0ECA78B1" w14:textId="77777777" w:rsidR="00803C5F" w:rsidRDefault="00803C5F">
            <w:pPr>
              <w:spacing w:line="240" w:lineRule="auto"/>
              <w:contextualSpacing w:val="0"/>
            </w:pPr>
          </w:p>
          <w:p w14:paraId="0884D933" w14:textId="77777777" w:rsidR="00803C5F" w:rsidRDefault="00803C5F">
            <w:pPr>
              <w:spacing w:line="240" w:lineRule="auto"/>
              <w:contextualSpacing w:val="0"/>
            </w:pPr>
          </w:p>
          <w:p w14:paraId="6B8D3287" w14:textId="77777777" w:rsidR="00803C5F" w:rsidRDefault="00803C5F">
            <w:pPr>
              <w:spacing w:line="240" w:lineRule="auto"/>
              <w:contextualSpacing w:val="0"/>
            </w:pPr>
          </w:p>
          <w:p w14:paraId="22D84F80" w14:textId="77777777" w:rsidR="00803C5F" w:rsidRDefault="00803C5F">
            <w:pPr>
              <w:spacing w:line="240" w:lineRule="auto"/>
              <w:contextualSpacing w:val="0"/>
            </w:pPr>
          </w:p>
          <w:p w14:paraId="5F6EA11D" w14:textId="77777777" w:rsidR="00803C5F" w:rsidRDefault="00803C5F">
            <w:pPr>
              <w:spacing w:line="240" w:lineRule="auto"/>
              <w:contextualSpacing w:val="0"/>
            </w:pPr>
          </w:p>
          <w:p w14:paraId="3227B78B" w14:textId="77777777" w:rsidR="00803C5F" w:rsidRDefault="00803C5F">
            <w:pPr>
              <w:spacing w:line="240" w:lineRule="auto"/>
              <w:contextualSpacing w:val="0"/>
            </w:pPr>
          </w:p>
          <w:p w14:paraId="38B91973" w14:textId="77777777" w:rsidR="00803C5F" w:rsidRDefault="00803C5F">
            <w:pPr>
              <w:spacing w:line="240" w:lineRule="auto"/>
              <w:contextualSpacing w:val="0"/>
            </w:pPr>
          </w:p>
          <w:p w14:paraId="30123555" w14:textId="77777777" w:rsidR="00803C5F" w:rsidRDefault="00803C5F">
            <w:pPr>
              <w:spacing w:line="240" w:lineRule="auto"/>
              <w:contextualSpacing w:val="0"/>
            </w:pPr>
          </w:p>
          <w:p w14:paraId="4594CE94" w14:textId="77777777" w:rsidR="00803C5F" w:rsidRDefault="00803C5F">
            <w:pPr>
              <w:spacing w:line="240" w:lineRule="auto"/>
              <w:contextualSpacing w:val="0"/>
            </w:pPr>
          </w:p>
          <w:p w14:paraId="78C5CF4A" w14:textId="77777777" w:rsidR="00803C5F" w:rsidRDefault="00803C5F">
            <w:pPr>
              <w:spacing w:line="240" w:lineRule="auto"/>
              <w:contextualSpacing w:val="0"/>
            </w:pPr>
          </w:p>
          <w:p w14:paraId="57AE4DAE" w14:textId="77777777" w:rsidR="00803C5F" w:rsidRDefault="00803C5F">
            <w:pPr>
              <w:spacing w:line="240" w:lineRule="auto"/>
              <w:contextualSpacing w:val="0"/>
            </w:pPr>
          </w:p>
          <w:p w14:paraId="54E6F988" w14:textId="77777777" w:rsidR="00803C5F" w:rsidRDefault="00803C5F">
            <w:pPr>
              <w:spacing w:line="240" w:lineRule="auto"/>
              <w:contextualSpacing w:val="0"/>
            </w:pPr>
          </w:p>
          <w:p w14:paraId="3BFFB0C5" w14:textId="77777777" w:rsidR="00803C5F" w:rsidRDefault="00803C5F">
            <w:pPr>
              <w:spacing w:line="240" w:lineRule="auto"/>
              <w:contextualSpacing w:val="0"/>
            </w:pPr>
          </w:p>
          <w:p w14:paraId="5B2D51A7" w14:textId="77777777" w:rsidR="00803C5F" w:rsidRDefault="00803C5F">
            <w:pPr>
              <w:spacing w:line="240" w:lineRule="auto"/>
              <w:contextualSpacing w:val="0"/>
            </w:pPr>
          </w:p>
        </w:tc>
      </w:tr>
    </w:tbl>
    <w:p w14:paraId="12E01641" w14:textId="77777777" w:rsidR="00803C5F" w:rsidRDefault="00803C5F"/>
    <w:p w14:paraId="39C26ECA" w14:textId="77777777" w:rsidR="00803C5F" w:rsidRDefault="00803C5F"/>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7EA2C3DE" w14:textId="77777777">
        <w:tc>
          <w:tcPr>
            <w:tcW w:w="9360" w:type="dxa"/>
            <w:tcMar>
              <w:top w:w="100" w:type="dxa"/>
              <w:left w:w="100" w:type="dxa"/>
              <w:bottom w:w="100" w:type="dxa"/>
              <w:right w:w="100" w:type="dxa"/>
            </w:tcMar>
          </w:tcPr>
          <w:p w14:paraId="7321178B" w14:textId="77777777" w:rsidR="00803C5F" w:rsidRDefault="0055597F">
            <w:pPr>
              <w:spacing w:line="240" w:lineRule="auto"/>
              <w:contextualSpacing w:val="0"/>
            </w:pPr>
            <w:r>
              <w:rPr>
                <w:b/>
              </w:rPr>
              <w:t>Amount in dispute (if appropriate)</w:t>
            </w:r>
          </w:p>
          <w:p w14:paraId="5791195E" w14:textId="77777777" w:rsidR="00803C5F" w:rsidRDefault="00803C5F">
            <w:pPr>
              <w:spacing w:line="240" w:lineRule="auto"/>
              <w:contextualSpacing w:val="0"/>
            </w:pPr>
          </w:p>
          <w:p w14:paraId="74871E4F" w14:textId="77777777" w:rsidR="00803C5F" w:rsidRDefault="00803C5F">
            <w:pPr>
              <w:spacing w:line="240" w:lineRule="auto"/>
              <w:contextualSpacing w:val="0"/>
            </w:pPr>
          </w:p>
        </w:tc>
      </w:tr>
    </w:tbl>
    <w:p w14:paraId="45410F90" w14:textId="77777777" w:rsidR="00803C5F" w:rsidRDefault="00803C5F"/>
    <w:p w14:paraId="6BFEE126" w14:textId="7674B319" w:rsidR="00803C5F" w:rsidRDefault="0055597F">
      <w:r>
        <w:t xml:space="preserve">Your application is accepted on the basis that the information you provide is both accurate and complete. Please complete either part A or B below. </w:t>
      </w:r>
    </w:p>
    <w:p w14:paraId="2C1066D7" w14:textId="77777777" w:rsidR="00803C5F" w:rsidRDefault="00803C5F"/>
    <w:p w14:paraId="0C461FA6" w14:textId="77777777" w:rsidR="00803C5F" w:rsidRDefault="0055597F">
      <w:r>
        <w:rPr>
          <w:b/>
        </w:rPr>
        <w:t xml:space="preserve">Part A - Unilateral application for the appointment of an arbitrator </w:t>
      </w:r>
    </w:p>
    <w:p w14:paraId="7938D91A" w14:textId="77777777" w:rsidR="00803C5F" w:rsidRDefault="00803C5F"/>
    <w:p w14:paraId="14EDA452" w14:textId="1BF640AD" w:rsidR="00803C5F" w:rsidRDefault="0055597F">
      <w:pPr>
        <w:numPr>
          <w:ilvl w:val="0"/>
          <w:numId w:val="5"/>
        </w:numPr>
        <w:ind w:hanging="360"/>
        <w:contextualSpacing/>
      </w:pPr>
      <w:r>
        <w:t>An agreement between the parties dated ….../…</w:t>
      </w:r>
      <w:proofErr w:type="gramStart"/>
      <w:r>
        <w:t>…./</w:t>
      </w:r>
      <w:proofErr w:type="gramEnd"/>
      <w:r>
        <w:t xml:space="preserve">……. allows for or includes the provision that in the event of a dispute, the dispute shall be determined </w:t>
      </w:r>
      <w:r w:rsidR="00607142">
        <w:t>by arbitration</w:t>
      </w:r>
      <w:r>
        <w:t xml:space="preserve">. </w:t>
      </w:r>
    </w:p>
    <w:p w14:paraId="7BC5AA96" w14:textId="77777777" w:rsidR="00803C5F" w:rsidRDefault="00803C5F"/>
    <w:p w14:paraId="692E43A9" w14:textId="77777777" w:rsidR="00803C5F" w:rsidRDefault="0055597F">
      <w:pPr>
        <w:numPr>
          <w:ilvl w:val="0"/>
          <w:numId w:val="5"/>
        </w:numPr>
        <w:ind w:hanging="360"/>
        <w:contextualSpacing/>
      </w:pPr>
      <w:r>
        <w:t>A copy of the relevant section of the agreement is attached and clearly marked.</w:t>
      </w:r>
    </w:p>
    <w:p w14:paraId="2EE69E4F" w14:textId="77777777" w:rsidR="00803C5F" w:rsidRDefault="00803C5F"/>
    <w:p w14:paraId="60541676" w14:textId="77777777" w:rsidR="00803C5F" w:rsidRDefault="0055597F">
      <w:pPr>
        <w:numPr>
          <w:ilvl w:val="0"/>
          <w:numId w:val="5"/>
        </w:numPr>
        <w:ind w:hanging="360"/>
        <w:contextualSpacing/>
      </w:pPr>
      <w:r>
        <w:lastRenderedPageBreak/>
        <w:t>Any condition precedent to the right of either party to make a unilateral application for the appointment of an arbitrator has been satisfied and particulars of this, if any, are attached.</w:t>
      </w:r>
    </w:p>
    <w:p w14:paraId="14EE9DF0" w14:textId="77777777" w:rsidR="00803C5F" w:rsidRDefault="00803C5F"/>
    <w:p w14:paraId="212DB756" w14:textId="77777777" w:rsidR="00803C5F" w:rsidRDefault="0055597F">
      <w:pPr>
        <w:numPr>
          <w:ilvl w:val="0"/>
          <w:numId w:val="5"/>
        </w:numPr>
        <w:ind w:hanging="360"/>
        <w:contextualSpacing/>
      </w:pPr>
      <w:r>
        <w:t xml:space="preserve">A copy of this application and all accompanying documents is being or has been sent by the Applicant to the Respondent electronically or where that is not possible, by courier. </w:t>
      </w:r>
    </w:p>
    <w:p w14:paraId="71DF2C17" w14:textId="77777777" w:rsidR="00803C5F" w:rsidRDefault="00803C5F"/>
    <w:p w14:paraId="19AB63FF" w14:textId="77777777" w:rsidR="00803C5F" w:rsidRDefault="0055597F">
      <w:pPr>
        <w:numPr>
          <w:ilvl w:val="0"/>
          <w:numId w:val="5"/>
        </w:numPr>
        <w:ind w:hanging="360"/>
        <w:contextualSpacing/>
      </w:pPr>
      <w:r>
        <w:t>It is further agreed as a condition of such an appointment to:</w:t>
      </w:r>
    </w:p>
    <w:p w14:paraId="5F27E801" w14:textId="77777777" w:rsidR="00803C5F" w:rsidRDefault="00803C5F">
      <w:pPr>
        <w:ind w:left="720"/>
      </w:pPr>
    </w:p>
    <w:p w14:paraId="18FC5B50" w14:textId="0EAAAFD8" w:rsidR="00803C5F" w:rsidRDefault="002E1923">
      <w:pPr>
        <w:numPr>
          <w:ilvl w:val="1"/>
          <w:numId w:val="5"/>
        </w:numPr>
        <w:ind w:hanging="360"/>
        <w:contextualSpacing/>
      </w:pPr>
      <w:r>
        <w:t xml:space="preserve">Pay the </w:t>
      </w:r>
      <w:r w:rsidR="00E93632">
        <w:t>Private Arbitration Court</w:t>
      </w:r>
      <w:r w:rsidR="00FD79E8">
        <w:t xml:space="preserve"> </w:t>
      </w:r>
      <w:r w:rsidR="0055597F">
        <w:t xml:space="preserve">fixed fees, whether or not the arbitration reaches a </w:t>
      </w:r>
      <w:proofErr w:type="gramStart"/>
      <w:r w:rsidR="0055597F">
        <w:t>hearing</w:t>
      </w:r>
      <w:proofErr w:type="gramEnd"/>
      <w:r w:rsidR="0055597F">
        <w:t xml:space="preserve"> or any Award is made; </w:t>
      </w:r>
    </w:p>
    <w:p w14:paraId="2447C396" w14:textId="3342AC95" w:rsidR="00803C5F" w:rsidRDefault="0055597F">
      <w:pPr>
        <w:numPr>
          <w:ilvl w:val="1"/>
          <w:numId w:val="5"/>
        </w:numPr>
        <w:ind w:hanging="360"/>
        <w:contextualSpacing/>
      </w:pPr>
      <w:r>
        <w:t>Make such payment(s) within the timef</w:t>
      </w:r>
      <w:r w:rsidR="002E1923">
        <w:t>rame prescribed under the</w:t>
      </w:r>
      <w:r w:rsidR="00E93632">
        <w:t xml:space="preserve"> Private Arbitration Court</w:t>
      </w:r>
      <w:r>
        <w:t>, or any longer timeframe permitted by the Arbitrator or the Arbitration Manager; and</w:t>
      </w:r>
    </w:p>
    <w:p w14:paraId="70271BD2" w14:textId="3F3C4F87" w:rsidR="00803C5F" w:rsidRDefault="0055597F">
      <w:pPr>
        <w:numPr>
          <w:ilvl w:val="1"/>
          <w:numId w:val="5"/>
        </w:numPr>
        <w:ind w:hanging="360"/>
        <w:contextualSpacing/>
      </w:pPr>
      <w:r>
        <w:t xml:space="preserve">Inform the Arbitrator and </w:t>
      </w:r>
      <w:r w:rsidR="00332AEB">
        <w:t xml:space="preserve">the Arbitration Manager </w:t>
      </w:r>
      <w:r>
        <w:t>promptly in the event of settlement of the dispute.</w:t>
      </w:r>
    </w:p>
    <w:p w14:paraId="27632853" w14:textId="77777777" w:rsidR="00803C5F" w:rsidRDefault="00803C5F">
      <w:pPr>
        <w:ind w:left="720"/>
      </w:pPr>
    </w:p>
    <w:p w14:paraId="220EB452" w14:textId="07C3C0D8" w:rsidR="00803C5F" w:rsidRDefault="0055597F">
      <w:pPr>
        <w:numPr>
          <w:ilvl w:val="0"/>
          <w:numId w:val="5"/>
        </w:numPr>
        <w:ind w:hanging="360"/>
        <w:contextualSpacing/>
      </w:pPr>
      <w:r>
        <w:t>It is acknowledged that the Arbitration Manager is not liable, by reason of having appointed or nominated the arbitrator, for anything done or omitted to be done by the arbitrator in the discharge or the purported discharge of his or her functions.</w:t>
      </w:r>
    </w:p>
    <w:p w14:paraId="29288229" w14:textId="77777777" w:rsidR="00803C5F" w:rsidRDefault="00803C5F"/>
    <w:p w14:paraId="084830AB" w14:textId="7D8F0CB4" w:rsidR="00FE233F" w:rsidRDefault="0055597F">
      <w:pPr>
        <w:numPr>
          <w:ilvl w:val="0"/>
          <w:numId w:val="5"/>
        </w:numPr>
        <w:ind w:hanging="360"/>
        <w:contextualSpacing/>
      </w:pPr>
      <w:r>
        <w:t xml:space="preserve">The Claimant’s share of the fixed fee, </w:t>
      </w:r>
      <w:r w:rsidR="002070DB">
        <w:t xml:space="preserve">£1,200 / </w:t>
      </w:r>
      <w:r w:rsidR="00FD79E8">
        <w:t>£</w:t>
      </w:r>
      <w:r w:rsidR="00B458B0">
        <w:t>3</w:t>
      </w:r>
      <w:r w:rsidR="00FD79E8">
        <w:t>,</w:t>
      </w:r>
      <w:r w:rsidR="00B458B0">
        <w:t>0</w:t>
      </w:r>
      <w:r w:rsidR="00FD79E8">
        <w:t>00 / £</w:t>
      </w:r>
      <w:r w:rsidR="00B458B0">
        <w:t>6</w:t>
      </w:r>
      <w:r w:rsidR="00FD79E8">
        <w:t>,000 (delete as appropriate)</w:t>
      </w:r>
      <w:r>
        <w:t xml:space="preserve">, is payable with this application. </w:t>
      </w:r>
      <w:r w:rsidR="00FD79E8">
        <w:t>Payment can be made using the attached payment form</w:t>
      </w:r>
      <w:r w:rsidR="00E93632">
        <w:t xml:space="preserve"> or </w:t>
      </w:r>
      <w:r w:rsidR="00FD79E8">
        <w:t xml:space="preserve">by using the </w:t>
      </w:r>
      <w:r w:rsidR="00FE233F">
        <w:t xml:space="preserve">relevant </w:t>
      </w:r>
      <w:r w:rsidR="00B458B0">
        <w:t>QR Code below</w:t>
      </w:r>
      <w:r w:rsidR="00FD79E8">
        <w:t xml:space="preserve">. </w:t>
      </w:r>
    </w:p>
    <w:p w14:paraId="547FC325" w14:textId="77777777" w:rsidR="00FE233F" w:rsidRDefault="00FE233F" w:rsidP="00FE233F">
      <w:pPr>
        <w:pStyle w:val="ListParagraph"/>
      </w:pPr>
    </w:p>
    <w:p w14:paraId="1216269B" w14:textId="7EE73E26" w:rsidR="00803C5F" w:rsidRDefault="0055597F" w:rsidP="00FE233F">
      <w:pPr>
        <w:ind w:left="720"/>
        <w:contextualSpacing/>
      </w:pPr>
      <w:r>
        <w:t xml:space="preserve">Please return the completed form by email or post to: The Arbitration Manager, Hunt ADR Limited, </w:t>
      </w:r>
      <w:r w:rsidR="00FD79E8">
        <w:t>PO Box 12627, Billericay, CM12 2EZ</w:t>
      </w:r>
      <w:r>
        <w:t>. Email</w:t>
      </w:r>
      <w:r w:rsidR="00FD79E8">
        <w:t xml:space="preserve"> a</w:t>
      </w:r>
      <w:r w:rsidR="00E93632">
        <w:t>dr</w:t>
      </w:r>
      <w:r w:rsidR="00FD79E8">
        <w:t>@huntadr.com.</w:t>
      </w:r>
      <w:r>
        <w:t xml:space="preserve">  </w:t>
      </w:r>
    </w:p>
    <w:p w14:paraId="4536C1E8" w14:textId="77777777" w:rsidR="00B458B0" w:rsidRDefault="00B458B0" w:rsidP="00B458B0">
      <w:pPr>
        <w:pStyle w:val="ListParagraph"/>
      </w:pPr>
    </w:p>
    <w:tbl>
      <w:tblPr>
        <w:tblStyle w:val="TableGrid"/>
        <w:tblW w:w="0" w:type="auto"/>
        <w:tblInd w:w="720" w:type="dxa"/>
        <w:tblLook w:val="04A0" w:firstRow="1" w:lastRow="0" w:firstColumn="1" w:lastColumn="0" w:noHBand="0" w:noVBand="1"/>
      </w:tblPr>
      <w:tblGrid>
        <w:gridCol w:w="2881"/>
        <w:gridCol w:w="2878"/>
        <w:gridCol w:w="2881"/>
      </w:tblGrid>
      <w:tr w:rsidR="00C4767C" w14:paraId="0FA181DB" w14:textId="77777777" w:rsidTr="00A8797F">
        <w:tc>
          <w:tcPr>
            <w:tcW w:w="3116" w:type="dxa"/>
            <w:tcBorders>
              <w:top w:val="nil"/>
              <w:left w:val="nil"/>
              <w:bottom w:val="nil"/>
              <w:right w:val="nil"/>
            </w:tcBorders>
          </w:tcPr>
          <w:p w14:paraId="68144800" w14:textId="45A928C8" w:rsidR="00B458B0" w:rsidRDefault="00C4767C" w:rsidP="00B458B0">
            <w:pPr>
              <w:contextualSpacing/>
            </w:pPr>
            <w:r w:rsidRPr="00C4767C">
              <w:rPr>
                <w:noProof/>
              </w:rPr>
              <w:drawing>
                <wp:inline distT="0" distB="0" distL="0" distR="0" wp14:anchorId="058E4C43" wp14:editId="3890AFF2">
                  <wp:extent cx="1365720" cy="1635760"/>
                  <wp:effectExtent l="0" t="0" r="6350" b="2540"/>
                  <wp:docPr id="928925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25401" name=""/>
                          <pic:cNvPicPr/>
                        </pic:nvPicPr>
                        <pic:blipFill>
                          <a:blip r:embed="rId9"/>
                          <a:stretch>
                            <a:fillRect/>
                          </a:stretch>
                        </pic:blipFill>
                        <pic:spPr>
                          <a:xfrm>
                            <a:off x="0" y="0"/>
                            <a:ext cx="1400944" cy="1677949"/>
                          </a:xfrm>
                          <a:prstGeom prst="rect">
                            <a:avLst/>
                          </a:prstGeom>
                        </pic:spPr>
                      </pic:pic>
                    </a:graphicData>
                  </a:graphic>
                </wp:inline>
              </w:drawing>
            </w:r>
          </w:p>
        </w:tc>
        <w:tc>
          <w:tcPr>
            <w:tcW w:w="3117" w:type="dxa"/>
            <w:tcBorders>
              <w:top w:val="nil"/>
              <w:left w:val="nil"/>
              <w:bottom w:val="nil"/>
              <w:right w:val="nil"/>
            </w:tcBorders>
          </w:tcPr>
          <w:p w14:paraId="6D1B2833" w14:textId="1B5AC6E4" w:rsidR="00B458B0" w:rsidRDefault="002070DB" w:rsidP="00B458B0">
            <w:pPr>
              <w:contextualSpacing/>
            </w:pPr>
            <w:r w:rsidRPr="00B458B0">
              <w:rPr>
                <w:noProof/>
              </w:rPr>
              <w:drawing>
                <wp:inline distT="0" distB="0" distL="0" distR="0" wp14:anchorId="048CDF0A" wp14:editId="4EDB28AD">
                  <wp:extent cx="1364470" cy="1635760"/>
                  <wp:effectExtent l="0" t="0" r="0" b="2540"/>
                  <wp:docPr id="156656723"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6723" name="Picture 1" descr="A qr code on a blue background&#10;&#10;Description automatically generated"/>
                          <pic:cNvPicPr/>
                        </pic:nvPicPr>
                        <pic:blipFill>
                          <a:blip r:embed="rId10"/>
                          <a:stretch>
                            <a:fillRect/>
                          </a:stretch>
                        </pic:blipFill>
                        <pic:spPr>
                          <a:xfrm>
                            <a:off x="0" y="0"/>
                            <a:ext cx="1372984" cy="1645967"/>
                          </a:xfrm>
                          <a:prstGeom prst="rect">
                            <a:avLst/>
                          </a:prstGeom>
                        </pic:spPr>
                      </pic:pic>
                    </a:graphicData>
                  </a:graphic>
                </wp:inline>
              </w:drawing>
            </w:r>
          </w:p>
        </w:tc>
        <w:tc>
          <w:tcPr>
            <w:tcW w:w="3117" w:type="dxa"/>
            <w:tcBorders>
              <w:top w:val="nil"/>
              <w:left w:val="nil"/>
              <w:bottom w:val="nil"/>
              <w:right w:val="nil"/>
            </w:tcBorders>
          </w:tcPr>
          <w:p w14:paraId="45E22490" w14:textId="5CCE6AC7" w:rsidR="00B458B0" w:rsidRDefault="00B458B0" w:rsidP="00B458B0">
            <w:pPr>
              <w:contextualSpacing/>
            </w:pPr>
            <w:r w:rsidRPr="00B458B0">
              <w:rPr>
                <w:noProof/>
              </w:rPr>
              <w:drawing>
                <wp:inline distT="0" distB="0" distL="0" distR="0" wp14:anchorId="75E34728" wp14:editId="0597E6C5">
                  <wp:extent cx="1364776" cy="1636127"/>
                  <wp:effectExtent l="0" t="0" r="6985" b="2540"/>
                  <wp:docPr id="57272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5877" name=""/>
                          <pic:cNvPicPr/>
                        </pic:nvPicPr>
                        <pic:blipFill>
                          <a:blip r:embed="rId11"/>
                          <a:stretch>
                            <a:fillRect/>
                          </a:stretch>
                        </pic:blipFill>
                        <pic:spPr>
                          <a:xfrm>
                            <a:off x="0" y="0"/>
                            <a:ext cx="1378013" cy="1651996"/>
                          </a:xfrm>
                          <a:prstGeom prst="rect">
                            <a:avLst/>
                          </a:prstGeom>
                        </pic:spPr>
                      </pic:pic>
                    </a:graphicData>
                  </a:graphic>
                </wp:inline>
              </w:drawing>
            </w:r>
          </w:p>
        </w:tc>
      </w:tr>
      <w:tr w:rsidR="00C4767C" w14:paraId="4469E410" w14:textId="77777777" w:rsidTr="00A8797F">
        <w:tc>
          <w:tcPr>
            <w:tcW w:w="3116" w:type="dxa"/>
            <w:tcBorders>
              <w:top w:val="nil"/>
              <w:left w:val="nil"/>
              <w:bottom w:val="nil"/>
              <w:right w:val="nil"/>
            </w:tcBorders>
          </w:tcPr>
          <w:p w14:paraId="41FF645B" w14:textId="3BCF885A" w:rsidR="00B458B0" w:rsidRDefault="00C4767C" w:rsidP="00FE233F">
            <w:pPr>
              <w:contextualSpacing/>
            </w:pPr>
            <w:r>
              <w:t>Scan to pay for documents-only arbitration under £50,000</w:t>
            </w:r>
          </w:p>
        </w:tc>
        <w:tc>
          <w:tcPr>
            <w:tcW w:w="3117" w:type="dxa"/>
            <w:tcBorders>
              <w:top w:val="nil"/>
              <w:left w:val="nil"/>
              <w:bottom w:val="nil"/>
              <w:right w:val="nil"/>
            </w:tcBorders>
          </w:tcPr>
          <w:p w14:paraId="7DB9E0EE" w14:textId="137A5E03" w:rsidR="00B458B0" w:rsidRDefault="002070DB" w:rsidP="00FE233F">
            <w:pPr>
              <w:contextualSpacing/>
            </w:pPr>
            <w:r>
              <w:t xml:space="preserve">Scan to pay for documents-only arbitration </w:t>
            </w:r>
            <w:r w:rsidR="00C4767C">
              <w:t>more than</w:t>
            </w:r>
            <w:r>
              <w:t xml:space="preserve"> £50,000</w:t>
            </w:r>
          </w:p>
        </w:tc>
        <w:tc>
          <w:tcPr>
            <w:tcW w:w="3117" w:type="dxa"/>
            <w:tcBorders>
              <w:top w:val="nil"/>
              <w:left w:val="nil"/>
              <w:bottom w:val="nil"/>
              <w:right w:val="nil"/>
            </w:tcBorders>
          </w:tcPr>
          <w:p w14:paraId="5EF6FD8D" w14:textId="01CAB24B" w:rsidR="00B458B0" w:rsidRDefault="00B458B0" w:rsidP="00FE233F">
            <w:pPr>
              <w:contextualSpacing/>
            </w:pPr>
            <w:r>
              <w:t>Scan to pay for arbitration with a hearing</w:t>
            </w:r>
          </w:p>
        </w:tc>
      </w:tr>
    </w:tbl>
    <w:p w14:paraId="71EDA744" w14:textId="77777777" w:rsidR="00B458B0" w:rsidRDefault="00B458B0" w:rsidP="00FE233F">
      <w:pPr>
        <w:ind w:left="720"/>
        <w:contextualSpacing/>
      </w:pPr>
    </w:p>
    <w:p w14:paraId="3183C502" w14:textId="77777777" w:rsidR="00B458B0" w:rsidRDefault="00B458B0" w:rsidP="00B458B0">
      <w:pPr>
        <w:pStyle w:val="ListParagraph"/>
      </w:pPr>
    </w:p>
    <w:p w14:paraId="3624815E" w14:textId="0AC03A0E" w:rsidR="00FE233F" w:rsidRDefault="00FE233F">
      <w:r>
        <w:br w:type="page"/>
      </w:r>
    </w:p>
    <w:p w14:paraId="0B7FDDF7" w14:textId="77777777" w:rsidR="00B458B0" w:rsidRDefault="00B458B0" w:rsidP="00B458B0">
      <w:pPr>
        <w:ind w:left="720"/>
        <w:contextualSpacing/>
      </w:pPr>
    </w:p>
    <w:p w14:paraId="52CA7D0F" w14:textId="77777777" w:rsidR="00B458B0" w:rsidRDefault="00B458B0" w:rsidP="00B458B0">
      <w:pPr>
        <w:ind w:left="720"/>
        <w:contextualSpacing/>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1025A19F" w14:textId="77777777">
        <w:tc>
          <w:tcPr>
            <w:tcW w:w="9360" w:type="dxa"/>
            <w:tcMar>
              <w:top w:w="100" w:type="dxa"/>
              <w:left w:w="100" w:type="dxa"/>
              <w:bottom w:w="100" w:type="dxa"/>
              <w:right w:w="100" w:type="dxa"/>
            </w:tcMar>
          </w:tcPr>
          <w:p w14:paraId="01BF6648" w14:textId="77777777" w:rsidR="00803C5F" w:rsidRDefault="0055597F">
            <w:pPr>
              <w:spacing w:line="240" w:lineRule="auto"/>
              <w:contextualSpacing w:val="0"/>
            </w:pPr>
            <w:r>
              <w:rPr>
                <w:b/>
              </w:rPr>
              <w:t>Signed:</w:t>
            </w:r>
          </w:p>
          <w:p w14:paraId="26C38CC2" w14:textId="77777777" w:rsidR="00803C5F" w:rsidRDefault="00803C5F">
            <w:pPr>
              <w:spacing w:line="240" w:lineRule="auto"/>
              <w:contextualSpacing w:val="0"/>
            </w:pPr>
          </w:p>
          <w:p w14:paraId="36FBB596" w14:textId="77777777" w:rsidR="00803C5F" w:rsidRDefault="00803C5F">
            <w:pPr>
              <w:spacing w:line="240" w:lineRule="auto"/>
              <w:contextualSpacing w:val="0"/>
            </w:pPr>
          </w:p>
          <w:p w14:paraId="7172146E" w14:textId="77777777" w:rsidR="00803C5F" w:rsidRDefault="00803C5F">
            <w:pPr>
              <w:spacing w:line="240" w:lineRule="auto"/>
              <w:contextualSpacing w:val="0"/>
            </w:pPr>
          </w:p>
          <w:p w14:paraId="4086B11A" w14:textId="77777777" w:rsidR="00803C5F" w:rsidRDefault="00803C5F">
            <w:pPr>
              <w:spacing w:line="240" w:lineRule="auto"/>
              <w:contextualSpacing w:val="0"/>
            </w:pPr>
          </w:p>
          <w:p w14:paraId="0A451714" w14:textId="77777777" w:rsidR="00803C5F" w:rsidRDefault="0055597F">
            <w:pPr>
              <w:spacing w:line="240" w:lineRule="auto"/>
              <w:contextualSpacing w:val="0"/>
            </w:pPr>
            <w:r>
              <w:rPr>
                <w:b/>
              </w:rPr>
              <w:t>Name:</w:t>
            </w:r>
          </w:p>
          <w:p w14:paraId="17930B92" w14:textId="77777777" w:rsidR="00803C5F" w:rsidRDefault="00803C5F">
            <w:pPr>
              <w:spacing w:line="240" w:lineRule="auto"/>
              <w:contextualSpacing w:val="0"/>
            </w:pPr>
          </w:p>
          <w:p w14:paraId="7F2FA771" w14:textId="77777777" w:rsidR="00803C5F" w:rsidRDefault="0055597F">
            <w:pPr>
              <w:spacing w:line="240" w:lineRule="auto"/>
              <w:contextualSpacing w:val="0"/>
            </w:pPr>
            <w:r>
              <w:rPr>
                <w:b/>
              </w:rPr>
              <w:t>Capacity:</w:t>
            </w:r>
          </w:p>
          <w:p w14:paraId="62379E39" w14:textId="77777777" w:rsidR="00803C5F" w:rsidRDefault="00803C5F">
            <w:pPr>
              <w:spacing w:line="240" w:lineRule="auto"/>
              <w:contextualSpacing w:val="0"/>
            </w:pPr>
          </w:p>
          <w:p w14:paraId="0ABDDA6F" w14:textId="77777777" w:rsidR="00803C5F" w:rsidRDefault="0055597F">
            <w:pPr>
              <w:spacing w:line="240" w:lineRule="auto"/>
              <w:contextualSpacing w:val="0"/>
            </w:pPr>
            <w:r>
              <w:rPr>
                <w:b/>
              </w:rPr>
              <w:t>Date:</w:t>
            </w:r>
          </w:p>
          <w:p w14:paraId="3071931E" w14:textId="77777777" w:rsidR="00803C5F" w:rsidRDefault="00803C5F">
            <w:pPr>
              <w:spacing w:line="240" w:lineRule="auto"/>
              <w:contextualSpacing w:val="0"/>
            </w:pPr>
          </w:p>
        </w:tc>
      </w:tr>
    </w:tbl>
    <w:p w14:paraId="0EB5FB53" w14:textId="77777777" w:rsidR="00803C5F" w:rsidRDefault="0055597F">
      <w:r>
        <w:rPr>
          <w:i/>
        </w:rPr>
        <w:t>On or for and on behalf of the Claimant</w:t>
      </w:r>
    </w:p>
    <w:p w14:paraId="76775938" w14:textId="77777777" w:rsidR="00803C5F" w:rsidRDefault="00803C5F"/>
    <w:p w14:paraId="5BA6B0C7" w14:textId="77777777" w:rsidR="00803C5F" w:rsidRDefault="00803C5F"/>
    <w:p w14:paraId="3A746765" w14:textId="77777777" w:rsidR="00803C5F" w:rsidRDefault="0055597F">
      <w:r>
        <w:rPr>
          <w:b/>
        </w:rPr>
        <w:t xml:space="preserve">Part B - Joint application for the appointment of an arbitrator </w:t>
      </w:r>
    </w:p>
    <w:p w14:paraId="1EAF503B" w14:textId="77777777" w:rsidR="00803C5F" w:rsidRDefault="00803C5F"/>
    <w:p w14:paraId="46A5A64C" w14:textId="41C29B31" w:rsidR="00803C5F" w:rsidRDefault="0055597F">
      <w:pPr>
        <w:numPr>
          <w:ilvl w:val="0"/>
          <w:numId w:val="4"/>
        </w:numPr>
        <w:ind w:hanging="360"/>
        <w:contextualSpacing/>
      </w:pPr>
      <w:r>
        <w:t>The parties hereby apply to the Arbitration Manager for their dispute (particulars of which are att</w:t>
      </w:r>
      <w:r w:rsidR="002E1923">
        <w:t xml:space="preserve">ached) to be referred to </w:t>
      </w:r>
      <w:r w:rsidR="00A05BCA">
        <w:t xml:space="preserve">Private Arbitration Court </w:t>
      </w:r>
      <w:r>
        <w:t xml:space="preserve">for determination by an arbitrator appointed for that purpose by the Arbitration Manager. </w:t>
      </w:r>
    </w:p>
    <w:p w14:paraId="5BE99AA8" w14:textId="77777777" w:rsidR="00803C5F" w:rsidRDefault="00803C5F"/>
    <w:p w14:paraId="2BDF1233" w14:textId="77777777" w:rsidR="00803C5F" w:rsidRDefault="0055597F">
      <w:pPr>
        <w:numPr>
          <w:ilvl w:val="0"/>
          <w:numId w:val="4"/>
        </w:numPr>
        <w:ind w:hanging="360"/>
        <w:contextualSpacing/>
      </w:pPr>
      <w:r>
        <w:t>Items 4-7 of Part A also apply as a condition to an appointment under Part B.</w:t>
      </w:r>
    </w:p>
    <w:p w14:paraId="27C9E8F9" w14:textId="77777777" w:rsidR="00803C5F" w:rsidRDefault="00803C5F"/>
    <w:p w14:paraId="07FB6603" w14:textId="77777777" w:rsidR="00803C5F" w:rsidRDefault="00803C5F"/>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53791E08" w14:textId="77777777">
        <w:tc>
          <w:tcPr>
            <w:tcW w:w="9360" w:type="dxa"/>
            <w:tcMar>
              <w:top w:w="100" w:type="dxa"/>
              <w:left w:w="100" w:type="dxa"/>
              <w:bottom w:w="100" w:type="dxa"/>
              <w:right w:w="100" w:type="dxa"/>
            </w:tcMar>
          </w:tcPr>
          <w:p w14:paraId="5285347D" w14:textId="77777777" w:rsidR="00803C5F" w:rsidRDefault="0055597F">
            <w:pPr>
              <w:spacing w:line="240" w:lineRule="auto"/>
              <w:contextualSpacing w:val="0"/>
            </w:pPr>
            <w:r>
              <w:rPr>
                <w:b/>
              </w:rPr>
              <w:t>Signed:</w:t>
            </w:r>
          </w:p>
          <w:p w14:paraId="5B3B907A" w14:textId="77777777" w:rsidR="00803C5F" w:rsidRDefault="00803C5F">
            <w:pPr>
              <w:spacing w:line="240" w:lineRule="auto"/>
              <w:contextualSpacing w:val="0"/>
            </w:pPr>
          </w:p>
          <w:p w14:paraId="172275D5" w14:textId="77777777" w:rsidR="00803C5F" w:rsidRDefault="00803C5F">
            <w:pPr>
              <w:spacing w:line="240" w:lineRule="auto"/>
              <w:contextualSpacing w:val="0"/>
            </w:pPr>
          </w:p>
          <w:p w14:paraId="200F3A3B" w14:textId="77777777" w:rsidR="00803C5F" w:rsidRDefault="00803C5F">
            <w:pPr>
              <w:spacing w:line="240" w:lineRule="auto"/>
              <w:contextualSpacing w:val="0"/>
            </w:pPr>
          </w:p>
          <w:p w14:paraId="0339B8B6" w14:textId="77777777" w:rsidR="00803C5F" w:rsidRDefault="00803C5F">
            <w:pPr>
              <w:spacing w:line="240" w:lineRule="auto"/>
              <w:contextualSpacing w:val="0"/>
            </w:pPr>
          </w:p>
          <w:p w14:paraId="586FD856" w14:textId="77777777" w:rsidR="00803C5F" w:rsidRDefault="0055597F">
            <w:pPr>
              <w:spacing w:line="240" w:lineRule="auto"/>
              <w:contextualSpacing w:val="0"/>
            </w:pPr>
            <w:r>
              <w:rPr>
                <w:b/>
              </w:rPr>
              <w:t>Name:</w:t>
            </w:r>
          </w:p>
          <w:p w14:paraId="55CB3A41" w14:textId="77777777" w:rsidR="00803C5F" w:rsidRDefault="00803C5F">
            <w:pPr>
              <w:spacing w:line="240" w:lineRule="auto"/>
              <w:contextualSpacing w:val="0"/>
            </w:pPr>
          </w:p>
          <w:p w14:paraId="7086A661" w14:textId="77777777" w:rsidR="00803C5F" w:rsidRDefault="0055597F">
            <w:pPr>
              <w:spacing w:line="240" w:lineRule="auto"/>
              <w:contextualSpacing w:val="0"/>
            </w:pPr>
            <w:r>
              <w:rPr>
                <w:b/>
              </w:rPr>
              <w:t>Capacity:</w:t>
            </w:r>
          </w:p>
          <w:p w14:paraId="78A9BE1D" w14:textId="77777777" w:rsidR="00803C5F" w:rsidRDefault="00803C5F">
            <w:pPr>
              <w:spacing w:line="240" w:lineRule="auto"/>
              <w:contextualSpacing w:val="0"/>
            </w:pPr>
          </w:p>
          <w:p w14:paraId="22EF4783" w14:textId="77777777" w:rsidR="00803C5F" w:rsidRDefault="0055597F">
            <w:pPr>
              <w:spacing w:line="240" w:lineRule="auto"/>
              <w:contextualSpacing w:val="0"/>
            </w:pPr>
            <w:r>
              <w:rPr>
                <w:b/>
              </w:rPr>
              <w:t>Date:</w:t>
            </w:r>
          </w:p>
          <w:p w14:paraId="5097327F" w14:textId="77777777" w:rsidR="00803C5F" w:rsidRDefault="00803C5F">
            <w:pPr>
              <w:spacing w:line="240" w:lineRule="auto"/>
              <w:contextualSpacing w:val="0"/>
            </w:pPr>
          </w:p>
        </w:tc>
      </w:tr>
    </w:tbl>
    <w:p w14:paraId="68820853" w14:textId="77777777" w:rsidR="00803C5F" w:rsidRDefault="00803C5F"/>
    <w:p w14:paraId="5F8635D0" w14:textId="77777777" w:rsidR="00803C5F" w:rsidRDefault="0055597F">
      <w:r>
        <w:rPr>
          <w:i/>
        </w:rPr>
        <w:t>On or for and on behalf of the Claimant</w:t>
      </w:r>
    </w:p>
    <w:p w14:paraId="3ACB485A" w14:textId="77777777" w:rsidR="00803C5F" w:rsidRDefault="00803C5F"/>
    <w:p w14:paraId="23A36BBB" w14:textId="73208AEC" w:rsidR="003334F5" w:rsidRDefault="003334F5">
      <w:r>
        <w:br w:type="page"/>
      </w:r>
    </w:p>
    <w:p w14:paraId="427E8089" w14:textId="77777777" w:rsidR="00803C5F" w:rsidRDefault="00803C5F"/>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03C5F" w14:paraId="64C03759" w14:textId="77777777">
        <w:tc>
          <w:tcPr>
            <w:tcW w:w="9360" w:type="dxa"/>
            <w:tcMar>
              <w:top w:w="100" w:type="dxa"/>
              <w:left w:w="100" w:type="dxa"/>
              <w:bottom w:w="100" w:type="dxa"/>
              <w:right w:w="100" w:type="dxa"/>
            </w:tcMar>
          </w:tcPr>
          <w:p w14:paraId="4F689FE7" w14:textId="77777777" w:rsidR="00803C5F" w:rsidRDefault="0055597F">
            <w:pPr>
              <w:spacing w:line="240" w:lineRule="auto"/>
              <w:contextualSpacing w:val="0"/>
            </w:pPr>
            <w:r>
              <w:rPr>
                <w:b/>
              </w:rPr>
              <w:t>Signed:</w:t>
            </w:r>
          </w:p>
          <w:p w14:paraId="7BCB38E1" w14:textId="77777777" w:rsidR="00803C5F" w:rsidRDefault="00803C5F">
            <w:pPr>
              <w:spacing w:line="240" w:lineRule="auto"/>
              <w:contextualSpacing w:val="0"/>
            </w:pPr>
          </w:p>
          <w:p w14:paraId="3E521962" w14:textId="77777777" w:rsidR="00803C5F" w:rsidRDefault="00803C5F">
            <w:pPr>
              <w:spacing w:line="240" w:lineRule="auto"/>
              <w:contextualSpacing w:val="0"/>
            </w:pPr>
          </w:p>
          <w:p w14:paraId="6EA49200" w14:textId="77777777" w:rsidR="00803C5F" w:rsidRDefault="00803C5F">
            <w:pPr>
              <w:spacing w:line="240" w:lineRule="auto"/>
              <w:contextualSpacing w:val="0"/>
            </w:pPr>
          </w:p>
          <w:p w14:paraId="3A81FC31" w14:textId="77777777" w:rsidR="00803C5F" w:rsidRDefault="00803C5F">
            <w:pPr>
              <w:spacing w:line="240" w:lineRule="auto"/>
              <w:contextualSpacing w:val="0"/>
            </w:pPr>
          </w:p>
          <w:p w14:paraId="27B4B6C0" w14:textId="77777777" w:rsidR="00803C5F" w:rsidRDefault="0055597F">
            <w:pPr>
              <w:spacing w:line="240" w:lineRule="auto"/>
              <w:contextualSpacing w:val="0"/>
            </w:pPr>
            <w:r>
              <w:rPr>
                <w:b/>
              </w:rPr>
              <w:t>Name:</w:t>
            </w:r>
          </w:p>
          <w:p w14:paraId="5AD39A26" w14:textId="77777777" w:rsidR="00803C5F" w:rsidRDefault="00803C5F">
            <w:pPr>
              <w:spacing w:line="240" w:lineRule="auto"/>
              <w:contextualSpacing w:val="0"/>
            </w:pPr>
          </w:p>
          <w:p w14:paraId="02CD78B4" w14:textId="77777777" w:rsidR="00803C5F" w:rsidRDefault="0055597F">
            <w:pPr>
              <w:spacing w:line="240" w:lineRule="auto"/>
              <w:contextualSpacing w:val="0"/>
            </w:pPr>
            <w:r>
              <w:rPr>
                <w:b/>
              </w:rPr>
              <w:t>Capacity:</w:t>
            </w:r>
          </w:p>
          <w:p w14:paraId="1F9C3D27" w14:textId="77777777" w:rsidR="00803C5F" w:rsidRDefault="00803C5F">
            <w:pPr>
              <w:spacing w:line="240" w:lineRule="auto"/>
              <w:contextualSpacing w:val="0"/>
            </w:pPr>
          </w:p>
          <w:p w14:paraId="47E2B7A5" w14:textId="77777777" w:rsidR="00803C5F" w:rsidRDefault="0055597F">
            <w:pPr>
              <w:spacing w:line="240" w:lineRule="auto"/>
              <w:contextualSpacing w:val="0"/>
            </w:pPr>
            <w:r>
              <w:rPr>
                <w:b/>
              </w:rPr>
              <w:t>Date:</w:t>
            </w:r>
          </w:p>
          <w:p w14:paraId="5FAC0171" w14:textId="77777777" w:rsidR="00803C5F" w:rsidRDefault="00803C5F">
            <w:pPr>
              <w:spacing w:line="240" w:lineRule="auto"/>
              <w:contextualSpacing w:val="0"/>
            </w:pPr>
          </w:p>
        </w:tc>
      </w:tr>
    </w:tbl>
    <w:p w14:paraId="3D182F5E" w14:textId="77777777" w:rsidR="00803C5F" w:rsidRDefault="00803C5F"/>
    <w:p w14:paraId="63DE0169" w14:textId="77777777" w:rsidR="00803C5F" w:rsidRDefault="0055597F">
      <w:r>
        <w:rPr>
          <w:i/>
        </w:rPr>
        <w:t>On or for and on behalf of the Respondent</w:t>
      </w:r>
    </w:p>
    <w:p w14:paraId="56E9184C" w14:textId="344E403D" w:rsidR="00FE233F" w:rsidRDefault="00FE233F">
      <w:bookmarkStart w:id="0" w:name="_gjdgxs" w:colFirst="0" w:colLast="0"/>
      <w:bookmarkEnd w:id="0"/>
      <w:r>
        <w:br w:type="page"/>
      </w:r>
    </w:p>
    <w:p w14:paraId="1A4421CC" w14:textId="77777777" w:rsidR="00FE233F" w:rsidRDefault="00FE233F" w:rsidP="00FE233F">
      <w:pPr>
        <w:jc w:val="center"/>
        <w:rPr>
          <w:b/>
          <w:sz w:val="44"/>
          <w:szCs w:val="44"/>
        </w:rPr>
      </w:pPr>
      <w:r>
        <w:rPr>
          <w:b/>
          <w:noProof/>
          <w:sz w:val="44"/>
          <w:szCs w:val="44"/>
        </w:rPr>
        <w:lastRenderedPageBreak/>
        <w:drawing>
          <wp:inline distT="0" distB="0" distL="0" distR="0" wp14:anchorId="2532FD03" wp14:editId="64EE1BF8">
            <wp:extent cx="3241343" cy="1076227"/>
            <wp:effectExtent l="0" t="0" r="0" b="0"/>
            <wp:docPr id="17104379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37991" name="Picture 1" descr="A blue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2016" cy="1079771"/>
                    </a:xfrm>
                    <a:prstGeom prst="rect">
                      <a:avLst/>
                    </a:prstGeom>
                  </pic:spPr>
                </pic:pic>
              </a:graphicData>
            </a:graphic>
          </wp:inline>
        </w:drawing>
      </w:r>
    </w:p>
    <w:p w14:paraId="723077EF" w14:textId="77777777" w:rsidR="00FE233F" w:rsidRDefault="00FE233F" w:rsidP="00FE233F">
      <w:pPr>
        <w:jc w:val="center"/>
        <w:rPr>
          <w:b/>
          <w:sz w:val="44"/>
          <w:szCs w:val="44"/>
        </w:rPr>
      </w:pPr>
    </w:p>
    <w:p w14:paraId="4B3DA561" w14:textId="42D14AD4" w:rsidR="00FE233F" w:rsidRPr="001B62CE" w:rsidRDefault="00FE233F" w:rsidP="00FE233F">
      <w:pPr>
        <w:jc w:val="center"/>
      </w:pPr>
      <w:r w:rsidRPr="008F5A61">
        <w:rPr>
          <w:b/>
          <w:sz w:val="44"/>
          <w:szCs w:val="44"/>
        </w:rPr>
        <w:t>Payment Form</w:t>
      </w:r>
    </w:p>
    <w:p w14:paraId="74B52EE8" w14:textId="77777777" w:rsidR="00FE233F" w:rsidRDefault="00FE233F" w:rsidP="00FE233F"/>
    <w:p w14:paraId="16FE6277" w14:textId="4876129F" w:rsidR="00FE233F" w:rsidRDefault="00FE233F" w:rsidP="00FE233F">
      <w:r w:rsidRPr="00806518">
        <w:t xml:space="preserve">This Payment Form is for use by applicants applying to use the </w:t>
      </w:r>
      <w:r>
        <w:t>Private Arbitration Court and wishing to p</w:t>
      </w:r>
      <w:r w:rsidRPr="00806518">
        <w:t xml:space="preserve">ay their registration fee by credit or debit card. Payment will be taken using secure </w:t>
      </w:r>
      <w:r>
        <w:t>Stripe</w:t>
      </w:r>
      <w:r w:rsidRPr="00806518">
        <w:t xml:space="preserve"> facilities which comply with all relevant data protection legislation.</w:t>
      </w:r>
      <w:r>
        <w:t xml:space="preserve"> </w:t>
      </w:r>
      <w:r w:rsidRPr="00806518">
        <w:t xml:space="preserve">All information recorded on this form is necessary </w:t>
      </w:r>
      <w:proofErr w:type="gramStart"/>
      <w:r w:rsidRPr="00806518">
        <w:t>in order for</w:t>
      </w:r>
      <w:proofErr w:type="gramEnd"/>
      <w:r w:rsidRPr="00806518">
        <w:t xml:space="preserve"> us to properly process a payment and this form will be destroyed once payment is taken</w:t>
      </w:r>
      <w:r>
        <w:t xml:space="preserve"> in line with Data Protection guidelines. </w:t>
      </w:r>
    </w:p>
    <w:p w14:paraId="4827EB9F" w14:textId="77777777" w:rsidR="00FE233F" w:rsidRDefault="00FE233F" w:rsidP="00FE233F">
      <w:pPr>
        <w:rPr>
          <w:b/>
          <w:bCs/>
        </w:rPr>
      </w:pPr>
    </w:p>
    <w:p w14:paraId="38143C1C" w14:textId="65D56F9E" w:rsidR="00FE233F" w:rsidRPr="00B8331C" w:rsidRDefault="00FE233F" w:rsidP="00FE233F">
      <w:pPr>
        <w:rPr>
          <w:b/>
          <w:bCs/>
        </w:rPr>
      </w:pPr>
      <w:r w:rsidRPr="00B8331C">
        <w:rPr>
          <w:b/>
          <w:bCs/>
        </w:rPr>
        <w:t>Please complete the form carefully in block capitals.</w:t>
      </w:r>
    </w:p>
    <w:p w14:paraId="7B52BF95" w14:textId="77777777" w:rsidR="00FE233F" w:rsidRPr="00806518" w:rsidRDefault="00FE233F" w:rsidP="00FE233F"/>
    <w:p w14:paraId="308CA6EC" w14:textId="77777777" w:rsidR="00FE233F" w:rsidRPr="008F5A61" w:rsidRDefault="00FE233F" w:rsidP="00FE233F">
      <w:pPr>
        <w:rPr>
          <w:b/>
          <w:sz w:val="28"/>
          <w:szCs w:val="28"/>
        </w:rPr>
      </w:pPr>
      <w:r w:rsidRPr="008F5A61">
        <w:rPr>
          <w:b/>
          <w:sz w:val="28"/>
          <w:szCs w:val="28"/>
        </w:rPr>
        <w:t>Personal Details</w:t>
      </w:r>
    </w:p>
    <w:p w14:paraId="1EEC85E0" w14:textId="77777777" w:rsidR="00FE233F" w:rsidRDefault="00FE233F" w:rsidP="00FE233F">
      <w:r>
        <w:t>Name ____________________________________________________________________</w:t>
      </w:r>
    </w:p>
    <w:p w14:paraId="72D8A98E" w14:textId="77777777" w:rsidR="00FE233F" w:rsidRDefault="00FE233F" w:rsidP="00FE233F">
      <w:r>
        <w:t>Email ____________________________________________________________________</w:t>
      </w:r>
    </w:p>
    <w:p w14:paraId="7CED9BDA" w14:textId="77777777" w:rsidR="00FE233F" w:rsidRDefault="00FE233F" w:rsidP="00FE233F">
      <w:r>
        <w:t>Telephone ________________________________________________________________</w:t>
      </w:r>
    </w:p>
    <w:p w14:paraId="4280F05B" w14:textId="77777777" w:rsidR="00FE233F" w:rsidRDefault="00FE233F" w:rsidP="00FE233F">
      <w:r>
        <w:t>Address __________________________________________________________________</w:t>
      </w:r>
    </w:p>
    <w:p w14:paraId="6791BE21" w14:textId="77777777" w:rsidR="00FE233F" w:rsidRDefault="00FE233F" w:rsidP="00FE233F">
      <w:r>
        <w:t>_________________________________________________________________________</w:t>
      </w:r>
    </w:p>
    <w:p w14:paraId="5D37E77B" w14:textId="77777777" w:rsidR="00FE233F" w:rsidRDefault="00FE233F" w:rsidP="00FE233F"/>
    <w:p w14:paraId="44B83E50" w14:textId="77777777" w:rsidR="00FE233F" w:rsidRPr="008F5A61" w:rsidRDefault="00FE233F" w:rsidP="00FE233F">
      <w:pPr>
        <w:rPr>
          <w:b/>
          <w:sz w:val="28"/>
          <w:szCs w:val="28"/>
        </w:rPr>
      </w:pPr>
      <w:r w:rsidRPr="008F5A61">
        <w:rPr>
          <w:b/>
          <w:sz w:val="28"/>
          <w:szCs w:val="28"/>
        </w:rPr>
        <w:t>Payment Details</w:t>
      </w:r>
    </w:p>
    <w:p w14:paraId="6B3B5ABA" w14:textId="77777777" w:rsidR="00FE233F" w:rsidRDefault="00FE233F" w:rsidP="00FE233F">
      <w:r>
        <w:t>Payment Method (state Credit Card or Debit Card) ________________________________</w:t>
      </w:r>
    </w:p>
    <w:p w14:paraId="5F147F57" w14:textId="330992AE" w:rsidR="00FE233F" w:rsidRPr="008F5A61" w:rsidRDefault="00FE233F" w:rsidP="00FE233F">
      <w:r>
        <w:t xml:space="preserve">Amount to pay </w:t>
      </w:r>
      <w:r w:rsidR="002070DB" w:rsidRPr="002070DB">
        <w:rPr>
          <w:b/>
          <w:bCs/>
        </w:rPr>
        <w:t>£1,200</w:t>
      </w:r>
      <w:r w:rsidR="002070DB">
        <w:t xml:space="preserve"> / </w:t>
      </w:r>
      <w:r w:rsidRPr="001B62CE">
        <w:rPr>
          <w:b/>
          <w:bCs/>
        </w:rPr>
        <w:t>£</w:t>
      </w:r>
      <w:r>
        <w:rPr>
          <w:b/>
          <w:bCs/>
        </w:rPr>
        <w:t>3,000 / £6,000</w:t>
      </w:r>
    </w:p>
    <w:p w14:paraId="30660A7E" w14:textId="77777777" w:rsidR="00FE233F" w:rsidRDefault="00FE233F" w:rsidP="00FE233F">
      <w:r>
        <w:t>Name on Card _____________________________________________________________</w:t>
      </w:r>
    </w:p>
    <w:p w14:paraId="55AD4E1A" w14:textId="77777777" w:rsidR="00FE233F" w:rsidRPr="00806518" w:rsidRDefault="00FE233F" w:rsidP="00FE233F">
      <w:r>
        <w:t>Card Number ______________________________________________________________</w:t>
      </w:r>
    </w:p>
    <w:p w14:paraId="749A1C79" w14:textId="77777777" w:rsidR="00FE233F" w:rsidRDefault="00FE233F" w:rsidP="00FE233F">
      <w:r>
        <w:t>Security Code ________________________ Start Date (if shown) ____________________</w:t>
      </w:r>
    </w:p>
    <w:p w14:paraId="574356C6" w14:textId="77777777" w:rsidR="00FE233F" w:rsidRDefault="00FE233F" w:rsidP="00FE233F">
      <w:r>
        <w:t>Expire Date _______________________________________________________________</w:t>
      </w:r>
    </w:p>
    <w:p w14:paraId="4D64DDD8" w14:textId="77777777" w:rsidR="00FE233F" w:rsidRDefault="00FE233F" w:rsidP="00FE233F"/>
    <w:p w14:paraId="319F813C" w14:textId="77777777" w:rsidR="00FE233F" w:rsidRDefault="00FE233F" w:rsidP="00FE233F">
      <w:pPr>
        <w:rPr>
          <w:b/>
        </w:rPr>
      </w:pPr>
      <w:r>
        <w:t xml:space="preserve">Please return this form with your application by email to </w:t>
      </w:r>
      <w:hyperlink r:id="rId13" w:history="1">
        <w:r w:rsidRPr="00123C52">
          <w:rPr>
            <w:rStyle w:val="Hyperlink"/>
          </w:rPr>
          <w:t>adr@huntadr.com</w:t>
        </w:r>
      </w:hyperlink>
      <w:r>
        <w:t xml:space="preserve"> or by post to: </w:t>
      </w:r>
      <w:r>
        <w:br/>
      </w:r>
      <w:r>
        <w:rPr>
          <w:b/>
        </w:rPr>
        <w:t>The Private Arbitration Court</w:t>
      </w:r>
      <w:r w:rsidRPr="008F5A61">
        <w:rPr>
          <w:b/>
        </w:rPr>
        <w:t>, PO Box 12627, Billericay CM12 2EZ</w:t>
      </w:r>
      <w:r>
        <w:rPr>
          <w:b/>
        </w:rPr>
        <w:t xml:space="preserve"> </w:t>
      </w:r>
    </w:p>
    <w:p w14:paraId="4F2DA580" w14:textId="77777777" w:rsidR="00FE233F" w:rsidRPr="00806518" w:rsidRDefault="00FE233F" w:rsidP="00FE233F"/>
    <w:p w14:paraId="3903360F" w14:textId="77777777" w:rsidR="00803C5F" w:rsidRDefault="00803C5F"/>
    <w:sectPr w:rsidR="00803C5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005F" w14:textId="77777777" w:rsidR="00E14FFC" w:rsidRDefault="00E14FFC" w:rsidP="00996849">
      <w:pPr>
        <w:spacing w:line="240" w:lineRule="auto"/>
      </w:pPr>
      <w:r>
        <w:separator/>
      </w:r>
    </w:p>
  </w:endnote>
  <w:endnote w:type="continuationSeparator" w:id="0">
    <w:p w14:paraId="28BAF74E" w14:textId="77777777" w:rsidR="00E14FFC" w:rsidRDefault="00E14FFC" w:rsidP="00996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A533" w14:textId="77777777" w:rsidR="00996849" w:rsidRDefault="0099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3FE2" w14:textId="77777777" w:rsidR="00996849" w:rsidRDefault="0099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86FE" w14:textId="77777777" w:rsidR="00996849" w:rsidRDefault="0099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FA1C" w14:textId="77777777" w:rsidR="00E14FFC" w:rsidRDefault="00E14FFC" w:rsidP="00996849">
      <w:pPr>
        <w:spacing w:line="240" w:lineRule="auto"/>
      </w:pPr>
      <w:r>
        <w:separator/>
      </w:r>
    </w:p>
  </w:footnote>
  <w:footnote w:type="continuationSeparator" w:id="0">
    <w:p w14:paraId="2353DC47" w14:textId="77777777" w:rsidR="00E14FFC" w:rsidRDefault="00E14FFC" w:rsidP="00996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4BA7" w14:textId="77777777" w:rsidR="00996849" w:rsidRDefault="0099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52F" w14:textId="77777777" w:rsidR="00996849" w:rsidRDefault="00996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8C2A" w14:textId="77777777" w:rsidR="00996849" w:rsidRDefault="0099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5F4E"/>
    <w:multiLevelType w:val="multilevel"/>
    <w:tmpl w:val="DD34C2F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 w15:restartNumberingAfterBreak="0">
    <w:nsid w:val="39540EC2"/>
    <w:multiLevelType w:val="multilevel"/>
    <w:tmpl w:val="A4AE4B0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47107B59"/>
    <w:multiLevelType w:val="multilevel"/>
    <w:tmpl w:val="9FE8F8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 w15:restartNumberingAfterBreak="0">
    <w:nsid w:val="48AE71F3"/>
    <w:multiLevelType w:val="multilevel"/>
    <w:tmpl w:val="92B24592"/>
    <w:lvl w:ilvl="0">
      <w:start w:val="1"/>
      <w:numFmt w:val="decimal"/>
      <w:lvlText w:val="%1."/>
      <w:lvlJc w:val="right"/>
      <w:pPr>
        <w:ind w:left="720" w:firstLine="1800"/>
      </w:pPr>
      <w:rPr>
        <w:u w:val="none"/>
      </w:rPr>
    </w:lvl>
    <w:lvl w:ilvl="1">
      <w:start w:val="1"/>
      <w:numFmt w:val="decimal"/>
      <w:lvlText w:val="%1.%2."/>
      <w:lvlJc w:val="right"/>
      <w:pPr>
        <w:ind w:left="1440" w:firstLine="3960"/>
      </w:pPr>
      <w:rPr>
        <w:u w:val="none"/>
      </w:rPr>
    </w:lvl>
    <w:lvl w:ilvl="2">
      <w:start w:val="1"/>
      <w:numFmt w:val="decimal"/>
      <w:lvlText w:val="%1.%2.%3."/>
      <w:lvlJc w:val="right"/>
      <w:pPr>
        <w:ind w:left="2160" w:firstLine="6120"/>
      </w:pPr>
      <w:rPr>
        <w:u w:val="none"/>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abstractNum w:abstractNumId="4" w15:restartNumberingAfterBreak="0">
    <w:nsid w:val="6F2B22EF"/>
    <w:multiLevelType w:val="multilevel"/>
    <w:tmpl w:val="E9C6ED6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16cid:durableId="321003906">
    <w:abstractNumId w:val="3"/>
  </w:num>
  <w:num w:numId="2" w16cid:durableId="2032753880">
    <w:abstractNumId w:val="1"/>
  </w:num>
  <w:num w:numId="3" w16cid:durableId="1985889360">
    <w:abstractNumId w:val="4"/>
  </w:num>
  <w:num w:numId="4" w16cid:durableId="58208478">
    <w:abstractNumId w:val="2"/>
  </w:num>
  <w:num w:numId="5" w16cid:durableId="12303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5F"/>
    <w:rsid w:val="000E7431"/>
    <w:rsid w:val="002070DB"/>
    <w:rsid w:val="0021164D"/>
    <w:rsid w:val="00215B89"/>
    <w:rsid w:val="002B063A"/>
    <w:rsid w:val="002E1923"/>
    <w:rsid w:val="003055C8"/>
    <w:rsid w:val="00332AEB"/>
    <w:rsid w:val="003334F5"/>
    <w:rsid w:val="00351A52"/>
    <w:rsid w:val="003866F7"/>
    <w:rsid w:val="003E6800"/>
    <w:rsid w:val="004859FF"/>
    <w:rsid w:val="004A00BD"/>
    <w:rsid w:val="004C6635"/>
    <w:rsid w:val="0055597F"/>
    <w:rsid w:val="00603766"/>
    <w:rsid w:val="00607142"/>
    <w:rsid w:val="006423DE"/>
    <w:rsid w:val="006E4B75"/>
    <w:rsid w:val="00770025"/>
    <w:rsid w:val="00794409"/>
    <w:rsid w:val="007E5136"/>
    <w:rsid w:val="00803C5F"/>
    <w:rsid w:val="008315DE"/>
    <w:rsid w:val="00905880"/>
    <w:rsid w:val="00947056"/>
    <w:rsid w:val="0098377F"/>
    <w:rsid w:val="00996849"/>
    <w:rsid w:val="00A05BCA"/>
    <w:rsid w:val="00A8797F"/>
    <w:rsid w:val="00B14AAE"/>
    <w:rsid w:val="00B458B0"/>
    <w:rsid w:val="00B73DBC"/>
    <w:rsid w:val="00C4767C"/>
    <w:rsid w:val="00C670A0"/>
    <w:rsid w:val="00C818C9"/>
    <w:rsid w:val="00C96653"/>
    <w:rsid w:val="00CF4C70"/>
    <w:rsid w:val="00D021C5"/>
    <w:rsid w:val="00DE11F0"/>
    <w:rsid w:val="00E14FFC"/>
    <w:rsid w:val="00E93632"/>
    <w:rsid w:val="00EA5CA8"/>
    <w:rsid w:val="00FD1D17"/>
    <w:rsid w:val="00FD79E8"/>
    <w:rsid w:val="00FE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DF81"/>
  <w15:docId w15:val="{6556E4FA-2FDE-4D73-83F6-8A8E4D1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D79E8"/>
    <w:rPr>
      <w:color w:val="0563C1" w:themeColor="hyperlink"/>
      <w:u w:val="single"/>
    </w:rPr>
  </w:style>
  <w:style w:type="character" w:styleId="UnresolvedMention">
    <w:name w:val="Unresolved Mention"/>
    <w:basedOn w:val="DefaultParagraphFont"/>
    <w:uiPriority w:val="99"/>
    <w:semiHidden/>
    <w:unhideWhenUsed/>
    <w:rsid w:val="00FD79E8"/>
    <w:rPr>
      <w:color w:val="605E5C"/>
      <w:shd w:val="clear" w:color="auto" w:fill="E1DFDD"/>
    </w:rPr>
  </w:style>
  <w:style w:type="paragraph" w:styleId="ListParagraph">
    <w:name w:val="List Paragraph"/>
    <w:basedOn w:val="Normal"/>
    <w:uiPriority w:val="34"/>
    <w:qFormat/>
    <w:rsid w:val="008315DE"/>
    <w:pPr>
      <w:ind w:left="720"/>
      <w:contextualSpacing/>
    </w:pPr>
  </w:style>
  <w:style w:type="table" w:styleId="TableGrid">
    <w:name w:val="Table Grid"/>
    <w:basedOn w:val="TableNormal"/>
    <w:uiPriority w:val="39"/>
    <w:rsid w:val="00B458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849"/>
    <w:pPr>
      <w:tabs>
        <w:tab w:val="center" w:pos="4513"/>
        <w:tab w:val="right" w:pos="9026"/>
      </w:tabs>
      <w:spacing w:line="240" w:lineRule="auto"/>
    </w:pPr>
  </w:style>
  <w:style w:type="character" w:customStyle="1" w:styleId="HeaderChar">
    <w:name w:val="Header Char"/>
    <w:basedOn w:val="DefaultParagraphFont"/>
    <w:link w:val="Header"/>
    <w:uiPriority w:val="99"/>
    <w:rsid w:val="00996849"/>
  </w:style>
  <w:style w:type="paragraph" w:styleId="Footer">
    <w:name w:val="footer"/>
    <w:basedOn w:val="Normal"/>
    <w:link w:val="FooterChar"/>
    <w:uiPriority w:val="99"/>
    <w:unhideWhenUsed/>
    <w:rsid w:val="00996849"/>
    <w:pPr>
      <w:tabs>
        <w:tab w:val="center" w:pos="4513"/>
        <w:tab w:val="right" w:pos="9026"/>
      </w:tabs>
      <w:spacing w:line="240" w:lineRule="auto"/>
    </w:pPr>
  </w:style>
  <w:style w:type="character" w:customStyle="1" w:styleId="FooterChar">
    <w:name w:val="Footer Char"/>
    <w:basedOn w:val="DefaultParagraphFont"/>
    <w:link w:val="Footer"/>
    <w:uiPriority w:val="99"/>
    <w:rsid w:val="00996849"/>
  </w:style>
  <w:style w:type="paragraph" w:styleId="Revision">
    <w:name w:val="Revision"/>
    <w:hidden/>
    <w:uiPriority w:val="99"/>
    <w:semiHidden/>
    <w:rsid w:val="00B14AAE"/>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894643">
      <w:bodyDiv w:val="1"/>
      <w:marLeft w:val="0"/>
      <w:marRight w:val="0"/>
      <w:marTop w:val="0"/>
      <w:marBottom w:val="0"/>
      <w:divBdr>
        <w:top w:val="none" w:sz="0" w:space="0" w:color="auto"/>
        <w:left w:val="none" w:sz="0" w:space="0" w:color="auto"/>
        <w:bottom w:val="none" w:sz="0" w:space="0" w:color="auto"/>
        <w:right w:val="none" w:sz="0" w:space="0" w:color="auto"/>
      </w:divBdr>
    </w:div>
    <w:div w:id="178515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drplat.net/?cid=1090" TargetMode="External"/><Relationship Id="rId13" Type="http://schemas.openxmlformats.org/officeDocument/2006/relationships/hyperlink" Target="mailto:adr@huntadr.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Hunt</cp:lastModifiedBy>
  <cp:revision>2</cp:revision>
  <dcterms:created xsi:type="dcterms:W3CDTF">2025-01-10T09:32:00Z</dcterms:created>
  <dcterms:modified xsi:type="dcterms:W3CDTF">2025-01-10T09:32:00Z</dcterms:modified>
</cp:coreProperties>
</file>